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865FA" w14:textId="0D0865B0" w:rsidR="00432230" w:rsidRPr="00432230" w:rsidRDefault="1123DF52" w:rsidP="00432230">
      <w:pPr>
        <w:rPr>
          <w:b/>
          <w:bCs/>
        </w:rPr>
      </w:pPr>
      <w:r w:rsidRPr="43BB160A">
        <w:rPr>
          <w:b/>
          <w:bCs/>
        </w:rPr>
        <w:t xml:space="preserve"> </w:t>
      </w:r>
      <w:r w:rsidR="00432230" w:rsidRPr="00432230">
        <w:rPr>
          <w:b/>
          <w:bCs/>
        </w:rPr>
        <w:t>MP INFORMATION PACK</w:t>
      </w:r>
    </w:p>
    <w:p w14:paraId="5EECCD82" w14:textId="0B6ED4A3" w:rsidR="00432230" w:rsidRDefault="00432230" w:rsidP="00432230">
      <w:pPr>
        <w:rPr>
          <w:b/>
          <w:bCs/>
          <w:i/>
          <w:iCs/>
        </w:rPr>
      </w:pPr>
      <w:r w:rsidRPr="00432230">
        <w:rPr>
          <w:b/>
          <w:bCs/>
          <w:i/>
          <w:iCs/>
        </w:rPr>
        <w:t>Supportin</w:t>
      </w:r>
      <w:r w:rsidR="00AE2DDE">
        <w:rPr>
          <w:b/>
          <w:bCs/>
          <w:i/>
          <w:iCs/>
        </w:rPr>
        <w:t xml:space="preserve">g </w:t>
      </w:r>
      <w:r w:rsidRPr="00432230">
        <w:rPr>
          <w:b/>
          <w:bCs/>
          <w:i/>
          <w:iCs/>
        </w:rPr>
        <w:t xml:space="preserve">Teachers Across the UK: Challenges, Evidence </w:t>
      </w:r>
      <w:r w:rsidR="00AE2DDE">
        <w:rPr>
          <w:b/>
          <w:bCs/>
          <w:i/>
          <w:iCs/>
        </w:rPr>
        <w:br/>
      </w:r>
      <w:r w:rsidRPr="00432230">
        <w:rPr>
          <w:b/>
          <w:bCs/>
          <w:i/>
          <w:iCs/>
        </w:rPr>
        <w:t>&amp; How Parliament Can Help</w:t>
      </w:r>
    </w:p>
    <w:p w14:paraId="6666E0EC" w14:textId="77777777" w:rsidR="00F03456" w:rsidRPr="00432230" w:rsidRDefault="00F03456" w:rsidP="00432230">
      <w:pPr>
        <w:rPr>
          <w:b/>
          <w:bCs/>
        </w:rPr>
      </w:pPr>
    </w:p>
    <w:p w14:paraId="12CBBBAB" w14:textId="737FDC91" w:rsidR="00432230" w:rsidRPr="00432230" w:rsidRDefault="00432230" w:rsidP="00F03456">
      <w:pPr>
        <w:pStyle w:val="Heading2"/>
      </w:pPr>
      <w:r w:rsidRPr="00432230">
        <w:t xml:space="preserve">Why </w:t>
      </w:r>
      <w:r w:rsidR="005D5571">
        <w:t>Reteach</w:t>
      </w:r>
      <w:r w:rsidRPr="00432230">
        <w:t xml:space="preserve"> Matters</w:t>
      </w:r>
    </w:p>
    <w:p w14:paraId="2CEB3EC7" w14:textId="6651E870" w:rsidR="00432230" w:rsidRPr="00432230" w:rsidRDefault="00AE2DDE" w:rsidP="00432230">
      <w:pPr>
        <w:rPr>
          <w:sz w:val="22"/>
          <w:szCs w:val="22"/>
        </w:rPr>
      </w:pPr>
      <w:r>
        <w:rPr>
          <w:sz w:val="22"/>
          <w:szCs w:val="22"/>
        </w:rPr>
        <w:t>T</w:t>
      </w:r>
      <w:r w:rsidR="00432230" w:rsidRPr="00432230">
        <w:rPr>
          <w:sz w:val="22"/>
          <w:szCs w:val="22"/>
        </w:rPr>
        <w:t>eachers across the UK face growing pressures: rising workload, uneven access to high</w:t>
      </w:r>
      <w:r w:rsidR="36D7BF1F" w:rsidRPr="62263FE6">
        <w:rPr>
          <w:sz w:val="22"/>
          <w:szCs w:val="22"/>
        </w:rPr>
        <w:t xml:space="preserve"> </w:t>
      </w:r>
      <w:r w:rsidR="00432230" w:rsidRPr="00432230">
        <w:rPr>
          <w:sz w:val="22"/>
          <w:szCs w:val="22"/>
        </w:rPr>
        <w:t>quality resources, and increasing expectations to teach complex, sensitive, and contested topics. These challenges directly affect curriculum quality, teacher retention, quality resources, and increasing expectations to teach complex, sensitive, and contested topics. These challenges directly affect curriculum quality</w:t>
      </w:r>
      <w:r>
        <w:rPr>
          <w:sz w:val="22"/>
          <w:szCs w:val="22"/>
        </w:rPr>
        <w:t xml:space="preserve"> and </w:t>
      </w:r>
      <w:r w:rsidR="00432230" w:rsidRPr="00432230">
        <w:rPr>
          <w:sz w:val="22"/>
          <w:szCs w:val="22"/>
        </w:rPr>
        <w:t>teacher retention</w:t>
      </w:r>
      <w:r>
        <w:rPr>
          <w:sz w:val="22"/>
          <w:szCs w:val="22"/>
        </w:rPr>
        <w:t>.</w:t>
      </w:r>
    </w:p>
    <w:p w14:paraId="57D41FD9" w14:textId="623582B6" w:rsidR="00432230" w:rsidRPr="00432230" w:rsidRDefault="00432230" w:rsidP="00432230">
      <w:pPr>
        <w:rPr>
          <w:sz w:val="22"/>
          <w:szCs w:val="22"/>
        </w:rPr>
      </w:pPr>
      <w:r w:rsidRPr="00432230">
        <w:rPr>
          <w:sz w:val="22"/>
          <w:szCs w:val="22"/>
        </w:rPr>
        <w:t xml:space="preserve">This pack summarises the official evidence, the challenges teachers report, and how </w:t>
      </w:r>
      <w:r w:rsidR="00F03456" w:rsidRPr="00D10BBB">
        <w:rPr>
          <w:sz w:val="22"/>
          <w:szCs w:val="22"/>
        </w:rPr>
        <w:t>you</w:t>
      </w:r>
      <w:r w:rsidRPr="00432230">
        <w:rPr>
          <w:sz w:val="22"/>
          <w:szCs w:val="22"/>
        </w:rPr>
        <w:t xml:space="preserve"> can support practical, low</w:t>
      </w:r>
      <w:r w:rsidR="00AE2DDE">
        <w:rPr>
          <w:sz w:val="22"/>
          <w:szCs w:val="22"/>
        </w:rPr>
        <w:t>-</w:t>
      </w:r>
      <w:r w:rsidRPr="00432230">
        <w:rPr>
          <w:sz w:val="22"/>
          <w:szCs w:val="22"/>
        </w:rPr>
        <w:t>cost solutions</w:t>
      </w:r>
      <w:r w:rsidR="00F03456" w:rsidRPr="00D10BBB">
        <w:rPr>
          <w:sz w:val="22"/>
          <w:szCs w:val="22"/>
        </w:rPr>
        <w:t xml:space="preserve"> such as </w:t>
      </w:r>
      <w:r w:rsidR="00AE2DDE">
        <w:rPr>
          <w:sz w:val="22"/>
          <w:szCs w:val="22"/>
        </w:rPr>
        <w:t>Reteach.</w:t>
      </w:r>
    </w:p>
    <w:p w14:paraId="25544ED1" w14:textId="77777777" w:rsidR="00F03456" w:rsidRDefault="00F03456" w:rsidP="00432230">
      <w:pPr>
        <w:rPr>
          <w:b/>
          <w:bCs/>
        </w:rPr>
      </w:pPr>
    </w:p>
    <w:p w14:paraId="7FD6B393" w14:textId="6043CC71" w:rsidR="00432230" w:rsidRDefault="00432230" w:rsidP="00F03456">
      <w:pPr>
        <w:pStyle w:val="Heading2"/>
      </w:pPr>
      <w:r w:rsidRPr="00432230">
        <w:t>The UK</w:t>
      </w:r>
      <w:r w:rsidR="632E4518">
        <w:t xml:space="preserve"> </w:t>
      </w:r>
      <w:r>
        <w:t>Wide Challenges Facing History Teachers</w:t>
      </w:r>
      <w:r w:rsidRPr="00432230">
        <w:noBreakHyphen/>
        <w:t>Wide Challenges Facing History Teachers</w:t>
      </w:r>
    </w:p>
    <w:p w14:paraId="597D411B" w14:textId="0848A850" w:rsidR="00F03456" w:rsidRPr="00F03456" w:rsidRDefault="00F03456" w:rsidP="00F03456">
      <w:pPr>
        <w:rPr>
          <w:sz w:val="18"/>
          <w:szCs w:val="18"/>
        </w:rPr>
      </w:pPr>
      <w:r w:rsidRPr="00432230">
        <w:rPr>
          <w:i/>
          <w:iCs/>
          <w:sz w:val="18"/>
          <w:szCs w:val="18"/>
        </w:rPr>
        <w:t>(All evidence</w:t>
      </w:r>
      <w:r w:rsidRPr="00F03456">
        <w:rPr>
          <w:i/>
          <w:iCs/>
          <w:sz w:val="18"/>
          <w:szCs w:val="18"/>
        </w:rPr>
        <w:t xml:space="preserve"> comes</w:t>
      </w:r>
      <w:r w:rsidRPr="00432230">
        <w:rPr>
          <w:i/>
          <w:iCs/>
          <w:sz w:val="18"/>
          <w:szCs w:val="18"/>
        </w:rPr>
        <w:t xml:space="preserve"> from</w:t>
      </w:r>
      <w:r w:rsidRPr="00F03456">
        <w:rPr>
          <w:i/>
          <w:iCs/>
          <w:sz w:val="18"/>
          <w:szCs w:val="18"/>
        </w:rPr>
        <w:t xml:space="preserve"> official and trustworthy sources such as</w:t>
      </w:r>
      <w:r w:rsidRPr="00432230">
        <w:rPr>
          <w:i/>
          <w:iCs/>
          <w:sz w:val="18"/>
          <w:szCs w:val="18"/>
        </w:rPr>
        <w:t xml:space="preserve"> Ofsted, the Historical Association, DfE, NFER, NEU)</w:t>
      </w:r>
    </w:p>
    <w:p w14:paraId="19C654DE" w14:textId="77777777" w:rsidR="00432230" w:rsidRPr="00432230" w:rsidRDefault="00432230" w:rsidP="00F03456">
      <w:pPr>
        <w:ind w:firstLine="720"/>
        <w:rPr>
          <w:b/>
          <w:bCs/>
          <w:sz w:val="22"/>
          <w:szCs w:val="22"/>
        </w:rPr>
      </w:pPr>
      <w:r w:rsidRPr="00432230">
        <w:rPr>
          <w:b/>
          <w:bCs/>
          <w:sz w:val="22"/>
          <w:szCs w:val="22"/>
        </w:rPr>
        <w:t>1. Wide variation in curriculum quality and depth</w:t>
      </w:r>
    </w:p>
    <w:p w14:paraId="68B2844A" w14:textId="724D3732" w:rsidR="00432230" w:rsidRPr="00432230" w:rsidRDefault="00432230" w:rsidP="00F03456">
      <w:pPr>
        <w:ind w:left="720"/>
        <w:rPr>
          <w:sz w:val="22"/>
          <w:szCs w:val="22"/>
        </w:rPr>
      </w:pPr>
      <w:r w:rsidRPr="00432230">
        <w:rPr>
          <w:sz w:val="22"/>
          <w:szCs w:val="22"/>
        </w:rPr>
        <w:t xml:space="preserve">Ofsted reports “significant differences in the quality of history teaching” across schools, with many pupils receiving a curriculum lacking depth, coherence, or chronological rigour. </w:t>
      </w:r>
      <w:hyperlink r:id="rId8" w:history="1">
        <w:r w:rsidRPr="00432230">
          <w:rPr>
            <w:rStyle w:val="Hyperlink"/>
            <w:b/>
            <w:bCs/>
            <w:color w:val="auto"/>
            <w:sz w:val="22"/>
            <w:szCs w:val="22"/>
            <w:u w:val="none"/>
          </w:rPr>
          <w:t>Source:</w:t>
        </w:r>
        <w:r w:rsidR="00560A88">
          <w:rPr>
            <w:rStyle w:val="Hyperlink"/>
            <w:sz w:val="22"/>
            <w:szCs w:val="22"/>
          </w:rPr>
          <w:t xml:space="preserve"> </w:t>
        </w:r>
        <w:r w:rsidRPr="00432230">
          <w:rPr>
            <w:rStyle w:val="Hyperlink"/>
            <w:sz w:val="22"/>
            <w:szCs w:val="22"/>
          </w:rPr>
          <w:t xml:space="preserve">Ofsted, </w:t>
        </w:r>
        <w:r w:rsidRPr="00432230">
          <w:rPr>
            <w:rStyle w:val="Hyperlink"/>
            <w:i/>
            <w:iCs/>
            <w:sz w:val="22"/>
            <w:szCs w:val="22"/>
          </w:rPr>
          <w:t>History Research Review</w:t>
        </w:r>
        <w:r w:rsidRPr="00432230">
          <w:rPr>
            <w:rStyle w:val="Hyperlink"/>
            <w:sz w:val="22"/>
            <w:szCs w:val="22"/>
          </w:rPr>
          <w:t xml:space="preserve"> (2021)</w:t>
        </w:r>
      </w:hyperlink>
    </w:p>
    <w:p w14:paraId="2389FB34" w14:textId="43E79203" w:rsidR="00432230" w:rsidRPr="00432230" w:rsidRDefault="00432230" w:rsidP="00F03456">
      <w:pPr>
        <w:ind w:firstLine="720"/>
        <w:rPr>
          <w:b/>
          <w:bCs/>
          <w:sz w:val="22"/>
          <w:szCs w:val="22"/>
        </w:rPr>
      </w:pPr>
      <w:r w:rsidRPr="00432230">
        <w:rPr>
          <w:b/>
          <w:bCs/>
          <w:sz w:val="22"/>
          <w:szCs w:val="22"/>
        </w:rPr>
        <w:t>2. Inconsistent access to high</w:t>
      </w:r>
      <w:r w:rsidR="5818B4A1" w:rsidRPr="29AF5A21">
        <w:rPr>
          <w:b/>
          <w:bCs/>
          <w:sz w:val="22"/>
          <w:szCs w:val="22"/>
        </w:rPr>
        <w:t xml:space="preserve"> quality</w:t>
      </w:r>
      <w:r w:rsidRPr="29AF5A21">
        <w:rPr>
          <w:b/>
          <w:bCs/>
          <w:sz w:val="22"/>
          <w:szCs w:val="22"/>
        </w:rPr>
        <w:t xml:space="preserve"> resources</w:t>
      </w:r>
      <w:r w:rsidRPr="00432230">
        <w:rPr>
          <w:b/>
          <w:bCs/>
          <w:sz w:val="22"/>
          <w:szCs w:val="22"/>
        </w:rPr>
        <w:noBreakHyphen/>
        <w:t>quality resources</w:t>
      </w:r>
    </w:p>
    <w:p w14:paraId="7F76B814" w14:textId="343EFA4E" w:rsidR="00432230" w:rsidRPr="00432230" w:rsidRDefault="00432230" w:rsidP="00F03456">
      <w:pPr>
        <w:ind w:left="720"/>
        <w:rPr>
          <w:sz w:val="22"/>
          <w:szCs w:val="22"/>
        </w:rPr>
      </w:pPr>
      <w:r w:rsidRPr="00432230">
        <w:rPr>
          <w:sz w:val="22"/>
          <w:szCs w:val="22"/>
        </w:rPr>
        <w:t xml:space="preserve">Some schools rely on superficial or generic materials, limiting pupils’ historical understanding. </w:t>
      </w:r>
      <w:hyperlink r:id="rId9" w:history="1">
        <w:r w:rsidRPr="00432230">
          <w:rPr>
            <w:rStyle w:val="Hyperlink"/>
            <w:b/>
            <w:bCs/>
            <w:color w:val="auto"/>
            <w:sz w:val="22"/>
            <w:szCs w:val="22"/>
            <w:u w:val="none"/>
          </w:rPr>
          <w:t>Source:</w:t>
        </w:r>
        <w:r w:rsidRPr="00432230">
          <w:rPr>
            <w:rStyle w:val="Hyperlink"/>
            <w:sz w:val="22"/>
            <w:szCs w:val="22"/>
          </w:rPr>
          <w:t xml:space="preserve"> Ofsted, </w:t>
        </w:r>
        <w:r w:rsidRPr="00432230">
          <w:rPr>
            <w:rStyle w:val="Hyperlink"/>
            <w:i/>
            <w:iCs/>
            <w:sz w:val="22"/>
            <w:szCs w:val="22"/>
          </w:rPr>
          <w:t>History Research Review</w:t>
        </w:r>
        <w:r w:rsidRPr="00432230">
          <w:rPr>
            <w:rStyle w:val="Hyperlink"/>
            <w:sz w:val="22"/>
            <w:szCs w:val="22"/>
          </w:rPr>
          <w:t xml:space="preserve"> (2021)</w:t>
        </w:r>
      </w:hyperlink>
    </w:p>
    <w:p w14:paraId="0880CE55" w14:textId="77777777" w:rsidR="00432230" w:rsidRPr="00432230" w:rsidRDefault="00432230" w:rsidP="00F03456">
      <w:pPr>
        <w:ind w:firstLine="720"/>
        <w:rPr>
          <w:b/>
          <w:bCs/>
          <w:sz w:val="22"/>
          <w:szCs w:val="22"/>
        </w:rPr>
      </w:pPr>
      <w:r w:rsidRPr="00432230">
        <w:rPr>
          <w:b/>
          <w:bCs/>
          <w:sz w:val="22"/>
          <w:szCs w:val="22"/>
        </w:rPr>
        <w:t>3. Teachers lack confidence teaching sensitive or contested histories</w:t>
      </w:r>
    </w:p>
    <w:p w14:paraId="5078381E" w14:textId="3362835F" w:rsidR="00432230" w:rsidRPr="00432230" w:rsidRDefault="00432230" w:rsidP="00F03456">
      <w:pPr>
        <w:ind w:left="720"/>
        <w:rPr>
          <w:sz w:val="22"/>
          <w:szCs w:val="22"/>
        </w:rPr>
      </w:pPr>
      <w:r w:rsidRPr="00432230">
        <w:rPr>
          <w:sz w:val="22"/>
          <w:szCs w:val="22"/>
        </w:rPr>
        <w:t>The Historical Association finds widespread anxiety around teaching empire, migration, race, and other co</w:t>
      </w:r>
      <w:r w:rsidR="00F03456" w:rsidRPr="00D10BBB">
        <w:rPr>
          <w:sz w:val="22"/>
          <w:szCs w:val="22"/>
        </w:rPr>
        <w:t>mplex</w:t>
      </w:r>
      <w:r w:rsidRPr="00432230">
        <w:rPr>
          <w:sz w:val="22"/>
          <w:szCs w:val="22"/>
        </w:rPr>
        <w:t xml:space="preserve"> topics. </w:t>
      </w:r>
      <w:r w:rsidRPr="00432230">
        <w:rPr>
          <w:b/>
          <w:bCs/>
          <w:sz w:val="22"/>
          <w:szCs w:val="22"/>
        </w:rPr>
        <w:t>Source:</w:t>
      </w:r>
      <w:r w:rsidRPr="00432230">
        <w:rPr>
          <w:sz w:val="22"/>
          <w:szCs w:val="22"/>
        </w:rPr>
        <w:t xml:space="preserve"> </w:t>
      </w:r>
      <w:hyperlink r:id="rId10" w:history="1">
        <w:r w:rsidRPr="00432230">
          <w:rPr>
            <w:rStyle w:val="Hyperlink"/>
            <w:sz w:val="22"/>
            <w:szCs w:val="22"/>
          </w:rPr>
          <w:t xml:space="preserve">HA </w:t>
        </w:r>
        <w:r w:rsidRPr="00432230">
          <w:rPr>
            <w:rStyle w:val="Hyperlink"/>
            <w:i/>
            <w:iCs/>
            <w:sz w:val="22"/>
            <w:szCs w:val="22"/>
          </w:rPr>
          <w:t>Annual Survey of History Teachers</w:t>
        </w:r>
        <w:r w:rsidRPr="00432230">
          <w:rPr>
            <w:rStyle w:val="Hyperlink"/>
            <w:sz w:val="22"/>
            <w:szCs w:val="22"/>
          </w:rPr>
          <w:t xml:space="preserve"> (2023)</w:t>
        </w:r>
      </w:hyperlink>
    </w:p>
    <w:p w14:paraId="2F0DBB4E" w14:textId="33498117" w:rsidR="00432230" w:rsidRPr="00432230" w:rsidRDefault="00432230" w:rsidP="00F03456">
      <w:pPr>
        <w:ind w:left="720"/>
        <w:rPr>
          <w:i/>
          <w:iCs/>
          <w:sz w:val="22"/>
          <w:szCs w:val="22"/>
        </w:rPr>
      </w:pPr>
      <w:r w:rsidRPr="00432230">
        <w:rPr>
          <w:b/>
          <w:bCs/>
          <w:i/>
          <w:iCs/>
          <w:sz w:val="22"/>
          <w:szCs w:val="22"/>
        </w:rPr>
        <w:t>“Teachers report feeling anxious about teaching topics such as empire, migration and race without clearer guidance or reliable resources.”</w:t>
      </w:r>
      <w:r w:rsidRPr="00432230">
        <w:rPr>
          <w:i/>
          <w:iCs/>
          <w:sz w:val="22"/>
          <w:szCs w:val="22"/>
        </w:rPr>
        <w:t xml:space="preserve"> </w:t>
      </w:r>
      <w:r w:rsidR="00F03456" w:rsidRPr="00627EA3">
        <w:rPr>
          <w:i/>
          <w:iCs/>
          <w:sz w:val="22"/>
          <w:szCs w:val="22"/>
        </w:rPr>
        <w:t>-</w:t>
      </w:r>
      <w:r w:rsidRPr="00432230">
        <w:rPr>
          <w:i/>
          <w:iCs/>
          <w:sz w:val="22"/>
          <w:szCs w:val="22"/>
        </w:rPr>
        <w:t>Historical Association, 2023</w:t>
      </w:r>
    </w:p>
    <w:p w14:paraId="3CD76219" w14:textId="633F878E" w:rsidR="00432230" w:rsidRPr="00432230" w:rsidRDefault="00432230" w:rsidP="00F03456">
      <w:pPr>
        <w:ind w:firstLine="720"/>
        <w:rPr>
          <w:b/>
          <w:bCs/>
          <w:sz w:val="22"/>
          <w:szCs w:val="22"/>
        </w:rPr>
      </w:pPr>
      <w:r w:rsidRPr="00432230">
        <w:rPr>
          <w:b/>
          <w:bCs/>
          <w:sz w:val="22"/>
          <w:szCs w:val="22"/>
        </w:rPr>
        <w:t>4. Non</w:t>
      </w:r>
      <w:r w:rsidR="02E550D3" w:rsidRPr="4261FB48">
        <w:rPr>
          <w:b/>
          <w:bCs/>
          <w:sz w:val="22"/>
          <w:szCs w:val="22"/>
        </w:rPr>
        <w:t>-</w:t>
      </w:r>
      <w:r w:rsidRPr="34FEB436">
        <w:rPr>
          <w:b/>
          <w:bCs/>
          <w:sz w:val="22"/>
          <w:szCs w:val="22"/>
        </w:rPr>
        <w:t xml:space="preserve">specialists increasingly teach </w:t>
      </w:r>
      <w:r w:rsidRPr="00432230">
        <w:rPr>
          <w:b/>
          <w:bCs/>
          <w:sz w:val="22"/>
          <w:szCs w:val="22"/>
        </w:rPr>
        <w:t>specialists</w:t>
      </w:r>
      <w:r w:rsidR="00AE2DDE">
        <w:rPr>
          <w:b/>
          <w:bCs/>
          <w:sz w:val="22"/>
          <w:szCs w:val="22"/>
        </w:rPr>
        <w:t xml:space="preserve"> subjects</w:t>
      </w:r>
    </w:p>
    <w:p w14:paraId="2DDB2CDA" w14:textId="7A9D0D8E" w:rsidR="00432230" w:rsidRPr="00432230" w:rsidRDefault="00432230" w:rsidP="00F03456">
      <w:pPr>
        <w:ind w:left="720"/>
        <w:rPr>
          <w:sz w:val="22"/>
          <w:szCs w:val="22"/>
        </w:rPr>
      </w:pPr>
      <w:r w:rsidRPr="00432230">
        <w:rPr>
          <w:sz w:val="22"/>
          <w:szCs w:val="22"/>
        </w:rPr>
        <w:t>Many schools rely on non</w:t>
      </w:r>
      <w:r w:rsidRPr="00432230">
        <w:rPr>
          <w:sz w:val="22"/>
          <w:szCs w:val="22"/>
        </w:rPr>
        <w:noBreakHyphen/>
        <w:t xml:space="preserve">specialists due to wider workforce shortages. </w:t>
      </w:r>
      <w:hyperlink r:id="rId11" w:history="1">
        <w:r w:rsidRPr="00432230">
          <w:rPr>
            <w:rStyle w:val="Hyperlink"/>
            <w:b/>
            <w:bCs/>
            <w:color w:val="auto"/>
            <w:sz w:val="22"/>
            <w:szCs w:val="22"/>
            <w:u w:val="none"/>
          </w:rPr>
          <w:t>Source:</w:t>
        </w:r>
        <w:r w:rsidRPr="00432230">
          <w:rPr>
            <w:rStyle w:val="Hyperlink"/>
            <w:sz w:val="22"/>
            <w:szCs w:val="22"/>
          </w:rPr>
          <w:t xml:space="preserve"> HA </w:t>
        </w:r>
        <w:r w:rsidRPr="00432230">
          <w:rPr>
            <w:rStyle w:val="Hyperlink"/>
            <w:i/>
            <w:iCs/>
            <w:sz w:val="22"/>
            <w:szCs w:val="22"/>
          </w:rPr>
          <w:t>Secondary Survey</w:t>
        </w:r>
        <w:r w:rsidRPr="00432230">
          <w:rPr>
            <w:rStyle w:val="Hyperlink"/>
            <w:sz w:val="22"/>
            <w:szCs w:val="22"/>
          </w:rPr>
          <w:t xml:space="preserve"> (2024)</w:t>
        </w:r>
      </w:hyperlink>
    </w:p>
    <w:p w14:paraId="4C5483E2" w14:textId="77777777" w:rsidR="00432230" w:rsidRPr="00432230" w:rsidRDefault="00432230" w:rsidP="00F03456">
      <w:pPr>
        <w:ind w:firstLine="720"/>
        <w:rPr>
          <w:b/>
          <w:bCs/>
          <w:sz w:val="22"/>
          <w:szCs w:val="22"/>
        </w:rPr>
      </w:pPr>
      <w:r w:rsidRPr="00432230">
        <w:rPr>
          <w:b/>
          <w:bCs/>
          <w:sz w:val="22"/>
          <w:szCs w:val="22"/>
        </w:rPr>
        <w:t>5. Uneven development of disciplinary knowledge</w:t>
      </w:r>
    </w:p>
    <w:p w14:paraId="61544306" w14:textId="3C7A07D7" w:rsidR="00432230" w:rsidRPr="00432230" w:rsidRDefault="00432230" w:rsidP="00F03456">
      <w:pPr>
        <w:ind w:left="720"/>
        <w:rPr>
          <w:sz w:val="22"/>
          <w:szCs w:val="22"/>
        </w:rPr>
      </w:pPr>
      <w:r w:rsidRPr="00432230">
        <w:rPr>
          <w:sz w:val="22"/>
          <w:szCs w:val="22"/>
        </w:rPr>
        <w:lastRenderedPageBreak/>
        <w:t xml:space="preserve">Pupils are not consistently taught core historical concepts (evidence, causation, change, significance). </w:t>
      </w:r>
      <w:hyperlink r:id="rId12" w:history="1">
        <w:r w:rsidRPr="00432230">
          <w:rPr>
            <w:rStyle w:val="Hyperlink"/>
            <w:b/>
            <w:bCs/>
            <w:color w:val="auto"/>
            <w:sz w:val="22"/>
            <w:szCs w:val="22"/>
            <w:u w:val="none"/>
          </w:rPr>
          <w:t>Source:</w:t>
        </w:r>
        <w:r w:rsidRPr="00432230">
          <w:rPr>
            <w:rStyle w:val="Hyperlink"/>
            <w:sz w:val="22"/>
            <w:szCs w:val="22"/>
          </w:rPr>
          <w:t xml:space="preserve"> Ofsted, 2021</w:t>
        </w:r>
      </w:hyperlink>
      <w:r w:rsidR="00D254B0" w:rsidRPr="00C525FB">
        <w:rPr>
          <w:sz w:val="22"/>
          <w:szCs w:val="22"/>
        </w:rPr>
        <w:t xml:space="preserve"> </w:t>
      </w:r>
    </w:p>
    <w:p w14:paraId="789C39C8" w14:textId="77777777" w:rsidR="00432230" w:rsidRPr="00432230" w:rsidRDefault="00432230" w:rsidP="00F03456">
      <w:pPr>
        <w:ind w:firstLine="720"/>
        <w:rPr>
          <w:b/>
          <w:bCs/>
          <w:sz w:val="22"/>
          <w:szCs w:val="22"/>
        </w:rPr>
      </w:pPr>
      <w:r w:rsidRPr="00432230">
        <w:rPr>
          <w:b/>
          <w:bCs/>
          <w:sz w:val="22"/>
          <w:szCs w:val="22"/>
        </w:rPr>
        <w:t>6. Curriculum time pressures</w:t>
      </w:r>
    </w:p>
    <w:p w14:paraId="1C61B07C" w14:textId="02D49043" w:rsidR="00432230" w:rsidRPr="00432230" w:rsidRDefault="00432230" w:rsidP="00F03456">
      <w:pPr>
        <w:ind w:left="720"/>
        <w:rPr>
          <w:sz w:val="22"/>
          <w:szCs w:val="22"/>
        </w:rPr>
      </w:pPr>
      <w:r w:rsidRPr="00432230">
        <w:rPr>
          <w:sz w:val="22"/>
          <w:szCs w:val="22"/>
        </w:rPr>
        <w:t xml:space="preserve">Limited curriculum time leads to rushed coverage rather than meaningful understanding. </w:t>
      </w:r>
      <w:hyperlink r:id="rId13" w:history="1">
        <w:r w:rsidRPr="00432230">
          <w:rPr>
            <w:rStyle w:val="Hyperlink"/>
            <w:b/>
            <w:bCs/>
            <w:color w:val="auto"/>
            <w:sz w:val="22"/>
            <w:szCs w:val="22"/>
            <w:u w:val="none"/>
          </w:rPr>
          <w:t>Source:</w:t>
        </w:r>
        <w:r w:rsidRPr="00432230">
          <w:rPr>
            <w:rStyle w:val="Hyperlink"/>
            <w:sz w:val="22"/>
            <w:szCs w:val="22"/>
          </w:rPr>
          <w:t xml:space="preserve"> Ofsted, 2021</w:t>
        </w:r>
      </w:hyperlink>
    </w:p>
    <w:p w14:paraId="20394BC7" w14:textId="548C0D52" w:rsidR="00432230" w:rsidRPr="00432230" w:rsidRDefault="00432230" w:rsidP="00F03456">
      <w:pPr>
        <w:pStyle w:val="Heading2"/>
      </w:pPr>
      <w:r w:rsidRPr="00432230">
        <w:t>Teacher Workload &amp; Retention: The National Picture</w:t>
      </w:r>
    </w:p>
    <w:p w14:paraId="511CD5A0" w14:textId="77777777" w:rsidR="00432230" w:rsidRPr="00432230" w:rsidRDefault="00432230" w:rsidP="00F03456">
      <w:pPr>
        <w:ind w:firstLine="360"/>
        <w:rPr>
          <w:b/>
          <w:bCs/>
          <w:sz w:val="22"/>
          <w:szCs w:val="22"/>
        </w:rPr>
      </w:pPr>
      <w:r w:rsidRPr="00432230">
        <w:rPr>
          <w:b/>
          <w:bCs/>
          <w:sz w:val="22"/>
          <w:szCs w:val="22"/>
        </w:rPr>
        <w:t>Workload is the top driver of teachers leaving the profession</w:t>
      </w:r>
    </w:p>
    <w:p w14:paraId="5A3C4E23" w14:textId="5D1392B6" w:rsidR="00432230" w:rsidRPr="00432230" w:rsidRDefault="00432230" w:rsidP="00432230">
      <w:pPr>
        <w:numPr>
          <w:ilvl w:val="0"/>
          <w:numId w:val="6"/>
        </w:numPr>
        <w:rPr>
          <w:sz w:val="22"/>
          <w:szCs w:val="22"/>
        </w:rPr>
      </w:pPr>
      <w:r w:rsidRPr="00432230">
        <w:rPr>
          <w:sz w:val="22"/>
          <w:szCs w:val="22"/>
        </w:rPr>
        <w:t xml:space="preserve">Teachers cite long hours, high workload, and wellbeing concerns. </w:t>
      </w:r>
      <w:hyperlink r:id="rId14" w:history="1">
        <w:r w:rsidRPr="00432230">
          <w:rPr>
            <w:rStyle w:val="Hyperlink"/>
            <w:b/>
            <w:bCs/>
            <w:color w:val="auto"/>
            <w:sz w:val="22"/>
            <w:szCs w:val="22"/>
            <w:u w:val="none"/>
          </w:rPr>
          <w:t>Source:</w:t>
        </w:r>
        <w:r w:rsidRPr="00432230">
          <w:rPr>
            <w:rStyle w:val="Hyperlink"/>
            <w:sz w:val="22"/>
            <w:szCs w:val="22"/>
          </w:rPr>
          <w:t xml:space="preserve"> DfE </w:t>
        </w:r>
        <w:r w:rsidRPr="00432230">
          <w:rPr>
            <w:rStyle w:val="Hyperlink"/>
            <w:i/>
            <w:iCs/>
            <w:sz w:val="22"/>
            <w:szCs w:val="22"/>
          </w:rPr>
          <w:t>Working Lives of Teachers and Leaders</w:t>
        </w:r>
        <w:r w:rsidRPr="00432230">
          <w:rPr>
            <w:rStyle w:val="Hyperlink"/>
            <w:sz w:val="22"/>
            <w:szCs w:val="22"/>
          </w:rPr>
          <w:t xml:space="preserve"> (2023/24)</w:t>
        </w:r>
      </w:hyperlink>
    </w:p>
    <w:p w14:paraId="568E8DF3" w14:textId="77777777" w:rsidR="00432230" w:rsidRPr="00432230" w:rsidRDefault="00432230" w:rsidP="00F03456">
      <w:pPr>
        <w:ind w:firstLine="360"/>
        <w:rPr>
          <w:b/>
          <w:bCs/>
          <w:sz w:val="22"/>
          <w:szCs w:val="22"/>
        </w:rPr>
      </w:pPr>
      <w:r w:rsidRPr="00432230">
        <w:rPr>
          <w:b/>
          <w:bCs/>
          <w:sz w:val="22"/>
          <w:szCs w:val="22"/>
        </w:rPr>
        <w:t>Recruitment and retention remain “significantly challenging”</w:t>
      </w:r>
    </w:p>
    <w:p w14:paraId="35E87912" w14:textId="30E3AAD2" w:rsidR="00432230" w:rsidRPr="00432230" w:rsidRDefault="00432230" w:rsidP="00432230">
      <w:pPr>
        <w:numPr>
          <w:ilvl w:val="0"/>
          <w:numId w:val="2"/>
        </w:numPr>
        <w:rPr>
          <w:sz w:val="22"/>
          <w:szCs w:val="22"/>
        </w:rPr>
      </w:pPr>
      <w:r w:rsidRPr="00432230">
        <w:rPr>
          <w:sz w:val="22"/>
          <w:szCs w:val="22"/>
        </w:rPr>
        <w:t xml:space="preserve">Workload and pay are key drivers. </w:t>
      </w:r>
      <w:r w:rsidRPr="00432230">
        <w:rPr>
          <w:b/>
          <w:bCs/>
          <w:sz w:val="22"/>
          <w:szCs w:val="22"/>
        </w:rPr>
        <w:t>Source:</w:t>
      </w:r>
      <w:r w:rsidRPr="00432230">
        <w:rPr>
          <w:sz w:val="22"/>
          <w:szCs w:val="22"/>
        </w:rPr>
        <w:t xml:space="preserve"> </w:t>
      </w:r>
      <w:hyperlink r:id="rId15" w:history="1">
        <w:r w:rsidRPr="00432230">
          <w:rPr>
            <w:rStyle w:val="Hyperlink"/>
            <w:sz w:val="22"/>
            <w:szCs w:val="22"/>
          </w:rPr>
          <w:t xml:space="preserve">NFER </w:t>
        </w:r>
        <w:r w:rsidRPr="00432230">
          <w:rPr>
            <w:rStyle w:val="Hyperlink"/>
            <w:i/>
            <w:iCs/>
            <w:sz w:val="22"/>
            <w:szCs w:val="22"/>
          </w:rPr>
          <w:t>Teacher Labour Market in England</w:t>
        </w:r>
        <w:r w:rsidRPr="00432230">
          <w:rPr>
            <w:rStyle w:val="Hyperlink"/>
            <w:sz w:val="22"/>
            <w:szCs w:val="22"/>
          </w:rPr>
          <w:t xml:space="preserve"> (2024)</w:t>
        </w:r>
      </w:hyperlink>
    </w:p>
    <w:p w14:paraId="3279808E" w14:textId="77777777" w:rsidR="00432230" w:rsidRPr="00432230" w:rsidRDefault="00432230" w:rsidP="00F03456">
      <w:pPr>
        <w:ind w:firstLine="360"/>
        <w:rPr>
          <w:b/>
          <w:bCs/>
          <w:sz w:val="22"/>
          <w:szCs w:val="22"/>
        </w:rPr>
      </w:pPr>
      <w:r w:rsidRPr="00432230">
        <w:rPr>
          <w:b/>
          <w:bCs/>
          <w:sz w:val="22"/>
          <w:szCs w:val="22"/>
        </w:rPr>
        <w:t>Teachers report unmanageable workload</w:t>
      </w:r>
    </w:p>
    <w:p w14:paraId="7A459954" w14:textId="3E33CB2D" w:rsidR="00432230" w:rsidRPr="00432230" w:rsidRDefault="00432230" w:rsidP="00432230">
      <w:pPr>
        <w:numPr>
          <w:ilvl w:val="0"/>
          <w:numId w:val="5"/>
        </w:numPr>
        <w:rPr>
          <w:sz w:val="22"/>
          <w:szCs w:val="22"/>
        </w:rPr>
      </w:pPr>
      <w:r w:rsidRPr="00432230">
        <w:rPr>
          <w:sz w:val="22"/>
          <w:szCs w:val="22"/>
        </w:rPr>
        <w:t xml:space="preserve">41% say workload is “unmanageable”; 37% “barely manageable”. </w:t>
      </w:r>
      <w:r w:rsidRPr="00432230">
        <w:rPr>
          <w:b/>
          <w:bCs/>
          <w:sz w:val="22"/>
          <w:szCs w:val="22"/>
        </w:rPr>
        <w:t>Source:</w:t>
      </w:r>
      <w:r w:rsidRPr="00432230">
        <w:rPr>
          <w:sz w:val="22"/>
          <w:szCs w:val="22"/>
        </w:rPr>
        <w:t xml:space="preserve"> </w:t>
      </w:r>
      <w:hyperlink r:id="rId16" w:history="1">
        <w:r w:rsidRPr="00432230">
          <w:rPr>
            <w:rStyle w:val="Hyperlink"/>
            <w:sz w:val="22"/>
            <w:szCs w:val="22"/>
          </w:rPr>
          <w:t xml:space="preserve">NEU </w:t>
        </w:r>
        <w:r w:rsidRPr="00432230">
          <w:rPr>
            <w:rStyle w:val="Hyperlink"/>
            <w:i/>
            <w:iCs/>
            <w:sz w:val="22"/>
            <w:szCs w:val="22"/>
          </w:rPr>
          <w:t>Teacher Workload Survey</w:t>
        </w:r>
        <w:r w:rsidRPr="00432230">
          <w:rPr>
            <w:rStyle w:val="Hyperlink"/>
            <w:sz w:val="22"/>
            <w:szCs w:val="22"/>
          </w:rPr>
          <w:t xml:space="preserve"> (2024)</w:t>
        </w:r>
      </w:hyperlink>
    </w:p>
    <w:p w14:paraId="5B18323C" w14:textId="20152B31" w:rsidR="00432230" w:rsidRPr="00432230" w:rsidRDefault="00432230" w:rsidP="00F03456">
      <w:pPr>
        <w:pStyle w:val="Heading2"/>
      </w:pPr>
      <w:r w:rsidRPr="00432230">
        <w:t>What Teachers Currently Turn To</w:t>
      </w:r>
    </w:p>
    <w:p w14:paraId="4A4C186A" w14:textId="77777777" w:rsidR="00432230" w:rsidRPr="00432230" w:rsidRDefault="00432230" w:rsidP="00432230">
      <w:pPr>
        <w:rPr>
          <w:sz w:val="22"/>
          <w:szCs w:val="22"/>
        </w:rPr>
      </w:pPr>
      <w:r w:rsidRPr="00432230">
        <w:rPr>
          <w:sz w:val="22"/>
          <w:szCs w:val="22"/>
        </w:rPr>
        <w:t>Official surveys show teachers often rely on:</w:t>
      </w:r>
    </w:p>
    <w:p w14:paraId="64517492" w14:textId="77777777" w:rsidR="00432230" w:rsidRPr="00432230" w:rsidRDefault="00432230" w:rsidP="00432230">
      <w:pPr>
        <w:numPr>
          <w:ilvl w:val="0"/>
          <w:numId w:val="4"/>
        </w:numPr>
        <w:rPr>
          <w:sz w:val="22"/>
          <w:szCs w:val="22"/>
        </w:rPr>
      </w:pPr>
      <w:r w:rsidRPr="00432230">
        <w:rPr>
          <w:sz w:val="22"/>
          <w:szCs w:val="22"/>
        </w:rPr>
        <w:t>Google searches</w:t>
      </w:r>
    </w:p>
    <w:p w14:paraId="23F1EB9E" w14:textId="77777777" w:rsidR="00432230" w:rsidRPr="00432230" w:rsidRDefault="00432230" w:rsidP="00432230">
      <w:pPr>
        <w:numPr>
          <w:ilvl w:val="0"/>
          <w:numId w:val="4"/>
        </w:numPr>
        <w:rPr>
          <w:sz w:val="22"/>
          <w:szCs w:val="22"/>
        </w:rPr>
      </w:pPr>
      <w:r w:rsidRPr="00432230">
        <w:rPr>
          <w:sz w:val="22"/>
          <w:szCs w:val="22"/>
        </w:rPr>
        <w:t>YouTube videos</w:t>
      </w:r>
    </w:p>
    <w:p w14:paraId="12E8D96E" w14:textId="77777777" w:rsidR="00432230" w:rsidRPr="00432230" w:rsidRDefault="00432230" w:rsidP="00432230">
      <w:pPr>
        <w:numPr>
          <w:ilvl w:val="0"/>
          <w:numId w:val="4"/>
        </w:numPr>
        <w:rPr>
          <w:sz w:val="22"/>
          <w:szCs w:val="22"/>
        </w:rPr>
      </w:pPr>
      <w:r w:rsidRPr="00432230">
        <w:rPr>
          <w:sz w:val="22"/>
          <w:szCs w:val="22"/>
        </w:rPr>
        <w:t>Unverified worksheets</w:t>
      </w:r>
    </w:p>
    <w:p w14:paraId="09E9F9F3" w14:textId="77777777" w:rsidR="00432230" w:rsidRPr="00432230" w:rsidRDefault="00432230" w:rsidP="00432230">
      <w:pPr>
        <w:numPr>
          <w:ilvl w:val="0"/>
          <w:numId w:val="4"/>
        </w:numPr>
        <w:rPr>
          <w:sz w:val="22"/>
          <w:szCs w:val="22"/>
        </w:rPr>
      </w:pPr>
      <w:r w:rsidRPr="00432230">
        <w:rPr>
          <w:sz w:val="22"/>
          <w:szCs w:val="22"/>
        </w:rPr>
        <w:t>Outdated or generic resources</w:t>
      </w:r>
    </w:p>
    <w:p w14:paraId="7026A076" w14:textId="77777777" w:rsidR="00432230" w:rsidRPr="00432230" w:rsidRDefault="00432230" w:rsidP="00432230">
      <w:pPr>
        <w:numPr>
          <w:ilvl w:val="0"/>
          <w:numId w:val="4"/>
        </w:numPr>
        <w:rPr>
          <w:sz w:val="22"/>
          <w:szCs w:val="22"/>
        </w:rPr>
      </w:pPr>
      <w:r w:rsidRPr="00432230">
        <w:rPr>
          <w:sz w:val="22"/>
          <w:szCs w:val="22"/>
        </w:rPr>
        <w:t>Materials not designed for non</w:t>
      </w:r>
      <w:r w:rsidRPr="00432230">
        <w:rPr>
          <w:sz w:val="22"/>
          <w:szCs w:val="22"/>
        </w:rPr>
        <w:noBreakHyphen/>
        <w:t>specialists</w:t>
      </w:r>
    </w:p>
    <w:p w14:paraId="14E6D01F" w14:textId="77777777" w:rsidR="00432230" w:rsidRPr="00432230" w:rsidRDefault="00432230" w:rsidP="00432230">
      <w:pPr>
        <w:rPr>
          <w:sz w:val="22"/>
          <w:szCs w:val="22"/>
        </w:rPr>
      </w:pPr>
      <w:r w:rsidRPr="00432230">
        <w:rPr>
          <w:sz w:val="22"/>
          <w:szCs w:val="22"/>
        </w:rPr>
        <w:t>Teachers consistently say they want:</w:t>
      </w:r>
    </w:p>
    <w:p w14:paraId="75CAF579" w14:textId="77777777" w:rsidR="00432230" w:rsidRPr="00432230" w:rsidRDefault="00432230" w:rsidP="00432230">
      <w:pPr>
        <w:numPr>
          <w:ilvl w:val="0"/>
          <w:numId w:val="1"/>
        </w:numPr>
        <w:rPr>
          <w:sz w:val="22"/>
          <w:szCs w:val="22"/>
        </w:rPr>
      </w:pPr>
      <w:r w:rsidRPr="00432230">
        <w:rPr>
          <w:sz w:val="22"/>
          <w:szCs w:val="22"/>
        </w:rPr>
        <w:t>Accuracy</w:t>
      </w:r>
    </w:p>
    <w:p w14:paraId="0638165A" w14:textId="77777777" w:rsidR="00432230" w:rsidRPr="00432230" w:rsidRDefault="00432230" w:rsidP="00432230">
      <w:pPr>
        <w:numPr>
          <w:ilvl w:val="0"/>
          <w:numId w:val="1"/>
        </w:numPr>
        <w:rPr>
          <w:sz w:val="22"/>
          <w:szCs w:val="22"/>
        </w:rPr>
      </w:pPr>
      <w:r w:rsidRPr="00432230">
        <w:rPr>
          <w:sz w:val="22"/>
          <w:szCs w:val="22"/>
        </w:rPr>
        <w:t>Clarity</w:t>
      </w:r>
    </w:p>
    <w:p w14:paraId="30BE23AF" w14:textId="6F061296" w:rsidR="00432230" w:rsidRPr="00432230" w:rsidRDefault="00432230" w:rsidP="00432230">
      <w:pPr>
        <w:numPr>
          <w:ilvl w:val="0"/>
          <w:numId w:val="1"/>
        </w:numPr>
        <w:rPr>
          <w:sz w:val="22"/>
          <w:szCs w:val="22"/>
        </w:rPr>
      </w:pPr>
      <w:r w:rsidRPr="00432230">
        <w:rPr>
          <w:sz w:val="22"/>
          <w:szCs w:val="22"/>
        </w:rPr>
        <w:t>Ready</w:t>
      </w:r>
      <w:r w:rsidR="2E1908BF" w:rsidRPr="2A5E3378">
        <w:rPr>
          <w:sz w:val="22"/>
          <w:szCs w:val="22"/>
        </w:rPr>
        <w:t>-</w:t>
      </w:r>
      <w:r w:rsidRPr="05926F74">
        <w:rPr>
          <w:sz w:val="22"/>
          <w:szCs w:val="22"/>
        </w:rPr>
        <w:t>to</w:t>
      </w:r>
      <w:r w:rsidR="62DD7D4C" w:rsidRPr="05926F74">
        <w:rPr>
          <w:sz w:val="22"/>
          <w:szCs w:val="22"/>
        </w:rPr>
        <w:t>-</w:t>
      </w:r>
      <w:r w:rsidRPr="05926F74">
        <w:rPr>
          <w:sz w:val="22"/>
          <w:szCs w:val="22"/>
        </w:rPr>
        <w:t>use</w:t>
      </w:r>
      <w:r w:rsidRPr="2A5E3378">
        <w:rPr>
          <w:sz w:val="22"/>
          <w:szCs w:val="22"/>
        </w:rPr>
        <w:t xml:space="preserve"> materials</w:t>
      </w:r>
      <w:r w:rsidRPr="00432230">
        <w:rPr>
          <w:sz w:val="22"/>
          <w:szCs w:val="22"/>
        </w:rPr>
        <w:noBreakHyphen/>
        <w:t>to</w:t>
      </w:r>
      <w:r w:rsidRPr="00432230">
        <w:rPr>
          <w:sz w:val="22"/>
          <w:szCs w:val="22"/>
        </w:rPr>
        <w:noBreakHyphen/>
        <w:t>use materials</w:t>
      </w:r>
    </w:p>
    <w:p w14:paraId="096BB1C4" w14:textId="77777777" w:rsidR="00432230" w:rsidRPr="00432230" w:rsidRDefault="00432230" w:rsidP="00432230">
      <w:pPr>
        <w:numPr>
          <w:ilvl w:val="0"/>
          <w:numId w:val="1"/>
        </w:numPr>
        <w:rPr>
          <w:sz w:val="22"/>
          <w:szCs w:val="22"/>
        </w:rPr>
      </w:pPr>
      <w:r w:rsidRPr="00432230">
        <w:rPr>
          <w:sz w:val="22"/>
          <w:szCs w:val="22"/>
        </w:rPr>
        <w:t>Support with contested history</w:t>
      </w:r>
    </w:p>
    <w:p w14:paraId="038F60BB" w14:textId="77777777" w:rsidR="00432230" w:rsidRPr="00432230" w:rsidRDefault="00432230" w:rsidP="00432230">
      <w:pPr>
        <w:numPr>
          <w:ilvl w:val="0"/>
          <w:numId w:val="1"/>
        </w:numPr>
        <w:rPr>
          <w:sz w:val="22"/>
          <w:szCs w:val="22"/>
        </w:rPr>
      </w:pPr>
      <w:r w:rsidRPr="00432230">
        <w:rPr>
          <w:sz w:val="22"/>
          <w:szCs w:val="22"/>
        </w:rPr>
        <w:t>Resources that reduce workload</w:t>
      </w:r>
    </w:p>
    <w:p w14:paraId="2E7EA613" w14:textId="2B59AF23" w:rsidR="00432230" w:rsidRDefault="00432230" w:rsidP="00432230">
      <w:pPr>
        <w:numPr>
          <w:ilvl w:val="0"/>
          <w:numId w:val="1"/>
        </w:numPr>
        <w:rPr>
          <w:sz w:val="22"/>
          <w:szCs w:val="22"/>
        </w:rPr>
      </w:pPr>
      <w:r w:rsidRPr="00432230">
        <w:rPr>
          <w:sz w:val="22"/>
          <w:szCs w:val="22"/>
        </w:rPr>
        <w:t>Subject</w:t>
      </w:r>
      <w:r w:rsidR="04053AAD" w:rsidRPr="3CA17A38">
        <w:rPr>
          <w:sz w:val="22"/>
          <w:szCs w:val="22"/>
        </w:rPr>
        <w:t xml:space="preserve"> </w:t>
      </w:r>
      <w:r w:rsidRPr="3CA17A38">
        <w:rPr>
          <w:sz w:val="22"/>
          <w:szCs w:val="22"/>
        </w:rPr>
        <w:t>expert guidance</w:t>
      </w:r>
      <w:r w:rsidRPr="00432230">
        <w:rPr>
          <w:sz w:val="22"/>
          <w:szCs w:val="22"/>
        </w:rPr>
        <w:noBreakHyphen/>
        <w:t>expert guidance</w:t>
      </w:r>
    </w:p>
    <w:p w14:paraId="1DD3188F" w14:textId="77777777" w:rsidR="00B2159B" w:rsidRDefault="00B2159B" w:rsidP="00B2159B">
      <w:pPr>
        <w:rPr>
          <w:sz w:val="22"/>
          <w:szCs w:val="22"/>
        </w:rPr>
      </w:pPr>
    </w:p>
    <w:p w14:paraId="6DEF08E2" w14:textId="3FF6C2D2" w:rsidR="00B2159B" w:rsidRDefault="00B2159B" w:rsidP="00B2159B">
      <w:pPr>
        <w:pStyle w:val="Heading2"/>
      </w:pPr>
      <w:r w:rsidRPr="00432230">
        <w:lastRenderedPageBreak/>
        <w:t xml:space="preserve">How Reteach </w:t>
      </w:r>
      <w:r>
        <w:t xml:space="preserve">Adress DfE </w:t>
      </w:r>
      <w:r w:rsidRPr="00B2159B">
        <w:t>Curriculum Review</w:t>
      </w:r>
    </w:p>
    <w:p w14:paraId="09DEB3B0" w14:textId="77777777" w:rsidR="00B2159B" w:rsidRPr="00432230" w:rsidRDefault="00B2159B" w:rsidP="00B2159B"/>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2"/>
        <w:gridCol w:w="5224"/>
      </w:tblGrid>
      <w:tr w:rsidR="00B2159B" w:rsidRPr="004D5619" w14:paraId="20F21118" w14:textId="77777777" w:rsidTr="00E569C3">
        <w:trPr>
          <w:tblHeader/>
          <w:tblCellSpacing w:w="15" w:type="dxa"/>
        </w:trPr>
        <w:tc>
          <w:tcPr>
            <w:tcW w:w="0" w:type="auto"/>
            <w:vAlign w:val="center"/>
            <w:hideMark/>
          </w:tcPr>
          <w:p w14:paraId="0C40AEA1" w14:textId="77777777" w:rsidR="00B2159B" w:rsidRPr="004D5619" w:rsidRDefault="00B2159B" w:rsidP="00E569C3">
            <w:pPr>
              <w:jc w:val="center"/>
              <w:rPr>
                <w:b/>
                <w:bCs/>
                <w:sz w:val="20"/>
                <w:szCs w:val="20"/>
              </w:rPr>
            </w:pPr>
            <w:r w:rsidRPr="004D5619">
              <w:rPr>
                <w:b/>
                <w:bCs/>
                <w:sz w:val="20"/>
                <w:szCs w:val="20"/>
              </w:rPr>
              <w:t>Government Curriculum and Assessment Review – Goals &amp; Problems</w:t>
            </w:r>
          </w:p>
        </w:tc>
        <w:tc>
          <w:tcPr>
            <w:tcW w:w="0" w:type="auto"/>
            <w:vAlign w:val="center"/>
            <w:hideMark/>
          </w:tcPr>
          <w:p w14:paraId="28780F5C" w14:textId="77777777" w:rsidR="00B2159B" w:rsidRPr="004D5619" w:rsidRDefault="00B2159B" w:rsidP="00E569C3">
            <w:pPr>
              <w:jc w:val="center"/>
              <w:rPr>
                <w:b/>
                <w:bCs/>
                <w:sz w:val="20"/>
                <w:szCs w:val="20"/>
              </w:rPr>
            </w:pPr>
            <w:r w:rsidRPr="004D5619">
              <w:rPr>
                <w:b/>
                <w:bCs/>
                <w:sz w:val="20"/>
                <w:szCs w:val="20"/>
              </w:rPr>
              <w:t>How Reteach Addresses This</w:t>
            </w:r>
          </w:p>
        </w:tc>
      </w:tr>
      <w:tr w:rsidR="00B2159B" w:rsidRPr="004D5619" w14:paraId="35F364EC" w14:textId="77777777" w:rsidTr="00E569C3">
        <w:trPr>
          <w:tblCellSpacing w:w="15" w:type="dxa"/>
        </w:trPr>
        <w:tc>
          <w:tcPr>
            <w:tcW w:w="0" w:type="auto"/>
            <w:vAlign w:val="center"/>
            <w:hideMark/>
          </w:tcPr>
          <w:p w14:paraId="018682F0" w14:textId="77777777" w:rsidR="00B2159B" w:rsidRPr="004D5619" w:rsidRDefault="00B2159B" w:rsidP="00E569C3">
            <w:pPr>
              <w:rPr>
                <w:sz w:val="20"/>
                <w:szCs w:val="20"/>
              </w:rPr>
            </w:pPr>
            <w:r w:rsidRPr="004D5619">
              <w:rPr>
                <w:sz w:val="20"/>
                <w:szCs w:val="20"/>
              </w:rPr>
              <w:t>“It is vital that schools and colleges are able to innovate and respond to local needs, and that teachers have the flexibility to extend the curriculum and draw out its relevance for the young people in their classrooms.”</w:t>
            </w:r>
          </w:p>
        </w:tc>
        <w:tc>
          <w:tcPr>
            <w:tcW w:w="0" w:type="auto"/>
            <w:vAlign w:val="center"/>
            <w:hideMark/>
          </w:tcPr>
          <w:p w14:paraId="2059F407" w14:textId="77777777" w:rsidR="00B2159B" w:rsidRPr="004D5619" w:rsidRDefault="00B2159B" w:rsidP="00E569C3">
            <w:pPr>
              <w:rPr>
                <w:sz w:val="20"/>
                <w:szCs w:val="20"/>
              </w:rPr>
            </w:pPr>
            <w:r w:rsidRPr="004D5619">
              <w:rPr>
                <w:b/>
                <w:bCs/>
                <w:sz w:val="20"/>
                <w:szCs w:val="20"/>
              </w:rPr>
              <w:t>Democratises access to high-quality curriculum materials:</w:t>
            </w:r>
            <w:r w:rsidRPr="004D5619">
              <w:rPr>
                <w:sz w:val="20"/>
                <w:szCs w:val="20"/>
              </w:rPr>
              <w:t xml:space="preserve"> Free, curated resources, videos, podcast and quizzes remove local procurement barriers so every teacher, whether in a small rural school or a large city, can teach from the same subject expert created material.</w:t>
            </w:r>
          </w:p>
        </w:tc>
      </w:tr>
      <w:tr w:rsidR="00B2159B" w:rsidRPr="004D5619" w14:paraId="7CFBE869" w14:textId="77777777" w:rsidTr="00E569C3">
        <w:trPr>
          <w:tblCellSpacing w:w="15" w:type="dxa"/>
        </w:trPr>
        <w:tc>
          <w:tcPr>
            <w:tcW w:w="0" w:type="auto"/>
            <w:vAlign w:val="center"/>
            <w:hideMark/>
          </w:tcPr>
          <w:p w14:paraId="55736F70" w14:textId="77777777" w:rsidR="00B2159B" w:rsidRPr="004D5619" w:rsidRDefault="00B2159B" w:rsidP="00E569C3">
            <w:pPr>
              <w:rPr>
                <w:sz w:val="20"/>
                <w:szCs w:val="20"/>
              </w:rPr>
            </w:pPr>
            <w:r w:rsidRPr="004D5619">
              <w:rPr>
                <w:sz w:val="20"/>
                <w:szCs w:val="20"/>
              </w:rPr>
              <w:t>“The current system is not working well for all… we must promote high aspirations and raise standards for the significant group of young people for whom the current system creates barriers.”</w:t>
            </w:r>
          </w:p>
        </w:tc>
        <w:tc>
          <w:tcPr>
            <w:tcW w:w="0" w:type="auto"/>
            <w:vAlign w:val="center"/>
            <w:hideMark/>
          </w:tcPr>
          <w:p w14:paraId="4886F899" w14:textId="77777777" w:rsidR="00B2159B" w:rsidRPr="004D5619" w:rsidRDefault="00B2159B" w:rsidP="00E569C3">
            <w:pPr>
              <w:rPr>
                <w:sz w:val="20"/>
                <w:szCs w:val="20"/>
              </w:rPr>
            </w:pPr>
            <w:r w:rsidRPr="004D5619">
              <w:rPr>
                <w:b/>
                <w:bCs/>
                <w:sz w:val="20"/>
                <w:szCs w:val="20"/>
              </w:rPr>
              <w:t>Directly supports a broader, more diverse curriculum:</w:t>
            </w:r>
            <w:r w:rsidRPr="004D5619">
              <w:rPr>
                <w:sz w:val="20"/>
                <w:szCs w:val="20"/>
              </w:rPr>
              <w:t xml:space="preserve"> Ready-to-teach units and recommended texts make it straightforward to bring under-represented voices and topics into lessons, with built-in notes on each resource so teachers can confidently broaden content without extra prep.</w:t>
            </w:r>
          </w:p>
        </w:tc>
      </w:tr>
      <w:tr w:rsidR="00B2159B" w:rsidRPr="004D5619" w14:paraId="4F7450C8" w14:textId="77777777" w:rsidTr="00E569C3">
        <w:trPr>
          <w:tblCellSpacing w:w="15" w:type="dxa"/>
        </w:trPr>
        <w:tc>
          <w:tcPr>
            <w:tcW w:w="0" w:type="auto"/>
            <w:vAlign w:val="center"/>
            <w:hideMark/>
          </w:tcPr>
          <w:p w14:paraId="670FF463" w14:textId="77777777" w:rsidR="00B2159B" w:rsidRPr="004D5619" w:rsidRDefault="00B2159B" w:rsidP="00E569C3">
            <w:pPr>
              <w:rPr>
                <w:sz w:val="20"/>
                <w:szCs w:val="20"/>
              </w:rPr>
            </w:pPr>
            <w:r w:rsidRPr="004D5619">
              <w:rPr>
                <w:sz w:val="20"/>
                <w:szCs w:val="20"/>
              </w:rPr>
              <w:t>“A well-structured and refreshed curriculum can… reduce unnecessary inequities and barriers to learning, provide clarity and coherence for teachers, and better support young people with diverse needs.”</w:t>
            </w:r>
          </w:p>
        </w:tc>
        <w:tc>
          <w:tcPr>
            <w:tcW w:w="0" w:type="auto"/>
            <w:vAlign w:val="center"/>
            <w:hideMark/>
          </w:tcPr>
          <w:p w14:paraId="6A1F57B3" w14:textId="77777777" w:rsidR="00B2159B" w:rsidRPr="004D5619" w:rsidRDefault="00B2159B" w:rsidP="00E569C3">
            <w:pPr>
              <w:rPr>
                <w:sz w:val="20"/>
                <w:szCs w:val="20"/>
              </w:rPr>
            </w:pPr>
            <w:r w:rsidRPr="004D5619">
              <w:rPr>
                <w:b/>
                <w:bCs/>
                <w:sz w:val="20"/>
                <w:szCs w:val="20"/>
              </w:rPr>
              <w:t>Democratises access to high-quality materials:</w:t>
            </w:r>
            <w:r w:rsidRPr="004D5619">
              <w:rPr>
                <w:sz w:val="20"/>
                <w:szCs w:val="20"/>
              </w:rPr>
              <w:t xml:space="preserve"> Reteach removes gatekeeping. Every teacher, in every school, gets the same expert-curated books, videos, reading list and resources, levelling up classroom provision without extra local procurement.</w:t>
            </w:r>
          </w:p>
        </w:tc>
      </w:tr>
      <w:tr w:rsidR="00B2159B" w:rsidRPr="004D5619" w14:paraId="680B5B10" w14:textId="77777777" w:rsidTr="00E569C3">
        <w:trPr>
          <w:tblCellSpacing w:w="15" w:type="dxa"/>
        </w:trPr>
        <w:tc>
          <w:tcPr>
            <w:tcW w:w="0" w:type="auto"/>
            <w:vAlign w:val="center"/>
            <w:hideMark/>
          </w:tcPr>
          <w:p w14:paraId="3C4BF1EE" w14:textId="77777777" w:rsidR="00B2159B" w:rsidRPr="004D5619" w:rsidRDefault="00B2159B" w:rsidP="00E569C3">
            <w:pPr>
              <w:rPr>
                <w:sz w:val="20"/>
                <w:szCs w:val="20"/>
              </w:rPr>
            </w:pPr>
            <w:r w:rsidRPr="004D5619">
              <w:rPr>
                <w:sz w:val="20"/>
                <w:szCs w:val="20"/>
              </w:rPr>
              <w:t>“Teachers need more practical support to make curriculum content accessible and inclusive so that all young people can see themselves represented.”</w:t>
            </w:r>
          </w:p>
        </w:tc>
        <w:tc>
          <w:tcPr>
            <w:tcW w:w="0" w:type="auto"/>
            <w:vAlign w:val="center"/>
            <w:hideMark/>
          </w:tcPr>
          <w:p w14:paraId="488D192B" w14:textId="77777777" w:rsidR="00B2159B" w:rsidRPr="004D5619" w:rsidRDefault="00B2159B" w:rsidP="00E569C3">
            <w:pPr>
              <w:rPr>
                <w:sz w:val="20"/>
                <w:szCs w:val="20"/>
              </w:rPr>
            </w:pPr>
            <w:r w:rsidRPr="004D5619">
              <w:rPr>
                <w:b/>
                <w:bCs/>
                <w:sz w:val="20"/>
                <w:szCs w:val="20"/>
              </w:rPr>
              <w:t>Directly supports a broader, more diverse curriculum:</w:t>
            </w:r>
            <w:r w:rsidRPr="004D5619">
              <w:rPr>
                <w:sz w:val="20"/>
                <w:szCs w:val="20"/>
              </w:rPr>
              <w:t xml:space="preserve"> Ready-to-teach units and recommended texts make it straightforward to bring under-represented voices and topics into lessons, with built-in notes on each resource so teachers can confidently broaden content without extra prep.</w:t>
            </w:r>
          </w:p>
        </w:tc>
      </w:tr>
      <w:tr w:rsidR="00B2159B" w:rsidRPr="004D5619" w14:paraId="5D8DBF4E" w14:textId="77777777" w:rsidTr="00E569C3">
        <w:trPr>
          <w:tblCellSpacing w:w="15" w:type="dxa"/>
        </w:trPr>
        <w:tc>
          <w:tcPr>
            <w:tcW w:w="0" w:type="auto"/>
            <w:vAlign w:val="center"/>
            <w:hideMark/>
          </w:tcPr>
          <w:p w14:paraId="16B169DA" w14:textId="77777777" w:rsidR="00B2159B" w:rsidRPr="004D5619" w:rsidRDefault="00B2159B" w:rsidP="00E569C3">
            <w:pPr>
              <w:rPr>
                <w:sz w:val="20"/>
                <w:szCs w:val="20"/>
              </w:rPr>
            </w:pPr>
            <w:r w:rsidRPr="004D5619">
              <w:rPr>
                <w:sz w:val="20"/>
                <w:szCs w:val="20"/>
              </w:rPr>
              <w:t>“The Review emphasises the need for clear exemplification and practical resources to support curriculum delivery and adaptation for different contexts.”</w:t>
            </w:r>
          </w:p>
        </w:tc>
        <w:tc>
          <w:tcPr>
            <w:tcW w:w="0" w:type="auto"/>
            <w:vAlign w:val="center"/>
            <w:hideMark/>
          </w:tcPr>
          <w:p w14:paraId="2F369F65" w14:textId="77777777" w:rsidR="00B2159B" w:rsidRPr="004D5619" w:rsidRDefault="00B2159B" w:rsidP="00E569C3">
            <w:pPr>
              <w:rPr>
                <w:sz w:val="20"/>
                <w:szCs w:val="20"/>
              </w:rPr>
            </w:pPr>
            <w:r w:rsidRPr="004D5619">
              <w:rPr>
                <w:b/>
                <w:bCs/>
                <w:sz w:val="20"/>
                <w:szCs w:val="20"/>
              </w:rPr>
              <w:t>Classroom-proven, workload-reducing resources:</w:t>
            </w:r>
            <w:r w:rsidRPr="004D5619">
              <w:rPr>
                <w:sz w:val="20"/>
                <w:szCs w:val="20"/>
              </w:rPr>
              <w:t xml:space="preserve"> Subject-expert written and teacher-tested resources, educational videos and assessment-ready quizzes mean less time planning. That practical time saving reduces day-to-day workload and supports teacher wellbeing and retention.</w:t>
            </w:r>
          </w:p>
        </w:tc>
      </w:tr>
      <w:tr w:rsidR="00B2159B" w:rsidRPr="004D5619" w14:paraId="1AC748A7" w14:textId="77777777" w:rsidTr="00E569C3">
        <w:trPr>
          <w:tblCellSpacing w:w="15" w:type="dxa"/>
        </w:trPr>
        <w:tc>
          <w:tcPr>
            <w:tcW w:w="0" w:type="auto"/>
            <w:vAlign w:val="center"/>
            <w:hideMark/>
          </w:tcPr>
          <w:p w14:paraId="21F0F678" w14:textId="77777777" w:rsidR="00B2159B" w:rsidRPr="004D5619" w:rsidRDefault="00B2159B" w:rsidP="00E569C3">
            <w:pPr>
              <w:rPr>
                <w:sz w:val="20"/>
                <w:szCs w:val="20"/>
              </w:rPr>
            </w:pPr>
            <w:r w:rsidRPr="004D5619">
              <w:rPr>
                <w:sz w:val="20"/>
                <w:szCs w:val="20"/>
              </w:rPr>
              <w:t>“It is essential that teachers are supported to develop their subject knowledge and have access to up-to-date, evidence-based materials.”</w:t>
            </w:r>
          </w:p>
        </w:tc>
        <w:tc>
          <w:tcPr>
            <w:tcW w:w="0" w:type="auto"/>
            <w:vAlign w:val="center"/>
            <w:hideMark/>
          </w:tcPr>
          <w:p w14:paraId="342C18FC" w14:textId="77777777" w:rsidR="00B2159B" w:rsidRPr="004D5619" w:rsidRDefault="00B2159B" w:rsidP="00E569C3">
            <w:pPr>
              <w:rPr>
                <w:sz w:val="20"/>
                <w:szCs w:val="20"/>
              </w:rPr>
            </w:pPr>
            <w:r w:rsidRPr="004D5619">
              <w:rPr>
                <w:b/>
                <w:bCs/>
                <w:sz w:val="20"/>
                <w:szCs w:val="20"/>
              </w:rPr>
              <w:t>Democratises access to high-quality curriculum materials:</w:t>
            </w:r>
            <w:r w:rsidRPr="004D5619">
              <w:rPr>
                <w:sz w:val="20"/>
                <w:szCs w:val="20"/>
              </w:rPr>
              <w:t xml:space="preserve"> Free, curated resources, videos, podcast and quizzes remove local procurement barriers so every teacher, whether in a small rural school or a large city, can teach from the same subject expert created material.</w:t>
            </w:r>
          </w:p>
        </w:tc>
      </w:tr>
      <w:tr w:rsidR="00B2159B" w:rsidRPr="004D5619" w14:paraId="6AB2FC10" w14:textId="77777777" w:rsidTr="00E569C3">
        <w:trPr>
          <w:tblCellSpacing w:w="15" w:type="dxa"/>
        </w:trPr>
        <w:tc>
          <w:tcPr>
            <w:tcW w:w="0" w:type="auto"/>
            <w:vAlign w:val="center"/>
            <w:hideMark/>
          </w:tcPr>
          <w:p w14:paraId="6A3ADE9F" w14:textId="77777777" w:rsidR="00B2159B" w:rsidRPr="004D5619" w:rsidRDefault="00B2159B" w:rsidP="00E569C3">
            <w:pPr>
              <w:rPr>
                <w:sz w:val="20"/>
                <w:szCs w:val="20"/>
              </w:rPr>
            </w:pPr>
            <w:r w:rsidRPr="004D5619">
              <w:rPr>
                <w:sz w:val="20"/>
                <w:szCs w:val="20"/>
              </w:rPr>
              <w:lastRenderedPageBreak/>
              <w:t>“The curriculum must enable young people to broaden their horizons and understand multiple perspectives in a diverse society.”</w:t>
            </w:r>
          </w:p>
        </w:tc>
        <w:tc>
          <w:tcPr>
            <w:tcW w:w="0" w:type="auto"/>
            <w:vAlign w:val="center"/>
            <w:hideMark/>
          </w:tcPr>
          <w:p w14:paraId="6F7B5D30" w14:textId="77777777" w:rsidR="00B2159B" w:rsidRPr="004D5619" w:rsidRDefault="00B2159B" w:rsidP="00E569C3">
            <w:pPr>
              <w:rPr>
                <w:sz w:val="20"/>
                <w:szCs w:val="20"/>
              </w:rPr>
            </w:pPr>
            <w:r w:rsidRPr="004D5619">
              <w:rPr>
                <w:b/>
                <w:bCs/>
                <w:sz w:val="20"/>
                <w:szCs w:val="20"/>
              </w:rPr>
              <w:t>Rapid-response topical tooling &amp; national reach:</w:t>
            </w:r>
            <w:r w:rsidRPr="004D5619">
              <w:rPr>
                <w:sz w:val="20"/>
                <w:szCs w:val="20"/>
              </w:rPr>
              <w:t xml:space="preserve"> Reteach helps teachers expand their students’ horizons by offering resources that present multiple viewpoints, for instance, our Irish Perspectives on the Easter Rising materials help students see historical conflicts from the other side.</w:t>
            </w:r>
          </w:p>
        </w:tc>
      </w:tr>
      <w:tr w:rsidR="00B2159B" w:rsidRPr="004D5619" w14:paraId="1FDF0897" w14:textId="77777777" w:rsidTr="00E569C3">
        <w:trPr>
          <w:tblCellSpacing w:w="15" w:type="dxa"/>
        </w:trPr>
        <w:tc>
          <w:tcPr>
            <w:tcW w:w="0" w:type="auto"/>
            <w:vAlign w:val="center"/>
            <w:hideMark/>
          </w:tcPr>
          <w:p w14:paraId="6F7CD4F1" w14:textId="77777777" w:rsidR="00B2159B" w:rsidRPr="004D5619" w:rsidRDefault="00B2159B" w:rsidP="00E569C3">
            <w:pPr>
              <w:rPr>
                <w:sz w:val="20"/>
                <w:szCs w:val="20"/>
              </w:rPr>
            </w:pPr>
            <w:r w:rsidRPr="004D5619">
              <w:rPr>
                <w:sz w:val="20"/>
                <w:szCs w:val="20"/>
              </w:rPr>
              <w:t>“Curriculum reform should be informed by evidence of what works in the classroom and what teachers find most effective.”</w:t>
            </w:r>
          </w:p>
        </w:tc>
        <w:tc>
          <w:tcPr>
            <w:tcW w:w="0" w:type="auto"/>
            <w:vAlign w:val="center"/>
            <w:hideMark/>
          </w:tcPr>
          <w:p w14:paraId="2302074E" w14:textId="77777777" w:rsidR="00B2159B" w:rsidRPr="004D5619" w:rsidRDefault="00B2159B" w:rsidP="00E569C3">
            <w:pPr>
              <w:rPr>
                <w:sz w:val="20"/>
                <w:szCs w:val="20"/>
              </w:rPr>
            </w:pPr>
            <w:r w:rsidRPr="004D5619">
              <w:rPr>
                <w:b/>
                <w:bCs/>
                <w:sz w:val="20"/>
                <w:szCs w:val="20"/>
              </w:rPr>
              <w:t>Generates actionable evidence for policy:</w:t>
            </w:r>
            <w:r w:rsidRPr="004D5619">
              <w:rPr>
                <w:sz w:val="20"/>
                <w:szCs w:val="20"/>
              </w:rPr>
              <w:t xml:space="preserve"> Aggregated, anonymised usage data, short teacher feedback and case studies provide policymakers with quick, practical signals about what works in classrooms, reducing the need for expensive, long-run pilots while informing smarter, evidence-based choices.</w:t>
            </w:r>
          </w:p>
        </w:tc>
      </w:tr>
      <w:tr w:rsidR="00B2159B" w:rsidRPr="004D5619" w14:paraId="24162B6B" w14:textId="77777777" w:rsidTr="00E569C3">
        <w:trPr>
          <w:tblCellSpacing w:w="15" w:type="dxa"/>
        </w:trPr>
        <w:tc>
          <w:tcPr>
            <w:tcW w:w="0" w:type="auto"/>
            <w:vAlign w:val="center"/>
            <w:hideMark/>
          </w:tcPr>
          <w:p w14:paraId="4A5946BF" w14:textId="77777777" w:rsidR="00B2159B" w:rsidRPr="004D5619" w:rsidRDefault="00B2159B" w:rsidP="00E569C3">
            <w:pPr>
              <w:rPr>
                <w:sz w:val="20"/>
                <w:szCs w:val="20"/>
              </w:rPr>
            </w:pPr>
            <w:r w:rsidRPr="004D5619">
              <w:rPr>
                <w:sz w:val="20"/>
                <w:szCs w:val="20"/>
              </w:rPr>
              <w:t>“Education must connect students to their communities and to real-world contexts that enrich learning.”</w:t>
            </w:r>
          </w:p>
        </w:tc>
        <w:tc>
          <w:tcPr>
            <w:tcW w:w="0" w:type="auto"/>
            <w:vAlign w:val="center"/>
            <w:hideMark/>
          </w:tcPr>
          <w:p w14:paraId="5DFBE893" w14:textId="77777777" w:rsidR="00B2159B" w:rsidRPr="004D5619" w:rsidRDefault="00B2159B" w:rsidP="00E569C3">
            <w:pPr>
              <w:rPr>
                <w:sz w:val="20"/>
                <w:szCs w:val="20"/>
              </w:rPr>
            </w:pPr>
            <w:r w:rsidRPr="004D5619">
              <w:rPr>
                <w:b/>
                <w:bCs/>
                <w:sz w:val="20"/>
                <w:szCs w:val="20"/>
              </w:rPr>
              <w:t>Bridges schools with community partners:</w:t>
            </w:r>
            <w:r w:rsidRPr="004D5619">
              <w:rPr>
                <w:sz w:val="20"/>
                <w:szCs w:val="20"/>
              </w:rPr>
              <w:t xml:space="preserve"> Many of the resources open a door to local activities to each school and collaborations with museums, libraries and employers turning external partnerships into curriculum-relevant learning that widens opportunity and enriches local provision.</w:t>
            </w:r>
          </w:p>
        </w:tc>
      </w:tr>
      <w:tr w:rsidR="00B2159B" w:rsidRPr="004D5619" w14:paraId="20938FB2" w14:textId="77777777" w:rsidTr="00E569C3">
        <w:trPr>
          <w:tblCellSpacing w:w="15" w:type="dxa"/>
        </w:trPr>
        <w:tc>
          <w:tcPr>
            <w:tcW w:w="0" w:type="auto"/>
            <w:vAlign w:val="center"/>
            <w:hideMark/>
          </w:tcPr>
          <w:p w14:paraId="018C5D73" w14:textId="77777777" w:rsidR="00B2159B" w:rsidRPr="004D5619" w:rsidRDefault="00B2159B" w:rsidP="00E569C3">
            <w:pPr>
              <w:rPr>
                <w:sz w:val="20"/>
                <w:szCs w:val="20"/>
              </w:rPr>
            </w:pPr>
            <w:r w:rsidRPr="004D5619">
              <w:rPr>
                <w:sz w:val="20"/>
                <w:szCs w:val="20"/>
              </w:rPr>
              <w:t>“The Review recommends that implementation should prioritise pragmatic, cost-effective approaches that minimise teacher workload.”</w:t>
            </w:r>
          </w:p>
        </w:tc>
        <w:tc>
          <w:tcPr>
            <w:tcW w:w="0" w:type="auto"/>
            <w:vAlign w:val="center"/>
            <w:hideMark/>
          </w:tcPr>
          <w:p w14:paraId="00E9B363" w14:textId="77777777" w:rsidR="00B2159B" w:rsidRPr="004D5619" w:rsidRDefault="00B2159B" w:rsidP="00E569C3">
            <w:pPr>
              <w:rPr>
                <w:sz w:val="20"/>
                <w:szCs w:val="20"/>
              </w:rPr>
            </w:pPr>
            <w:r w:rsidRPr="004D5619">
              <w:rPr>
                <w:b/>
                <w:bCs/>
                <w:sz w:val="20"/>
                <w:szCs w:val="20"/>
              </w:rPr>
              <w:t>National platform &amp; reach:</w:t>
            </w:r>
            <w:r w:rsidRPr="004D5619">
              <w:rPr>
                <w:sz w:val="20"/>
                <w:szCs w:val="20"/>
              </w:rPr>
              <w:t xml:space="preserve"> Podcast and digital channels amplify best practice and policy conversations UK-wide. Digital distribution means national reach is achievable and low cost but high impact. Reteach removes gatekeeping. This makes Reteach a pragmatic, fiscally responsible vehicle for improving classroom practice across the UK.</w:t>
            </w:r>
          </w:p>
        </w:tc>
      </w:tr>
    </w:tbl>
    <w:p w14:paraId="0CFBABEE" w14:textId="77777777" w:rsidR="00B2159B" w:rsidRDefault="00B2159B" w:rsidP="00F03456">
      <w:pPr>
        <w:pStyle w:val="Heading2"/>
      </w:pPr>
    </w:p>
    <w:p w14:paraId="4BB5ECF6" w14:textId="415FF01C" w:rsidR="00432230" w:rsidRPr="00432230" w:rsidRDefault="00432230" w:rsidP="00F03456">
      <w:pPr>
        <w:pStyle w:val="Heading2"/>
      </w:pPr>
      <w:r w:rsidRPr="00432230">
        <w:t>How Reteach Helps Teachers</w:t>
      </w:r>
    </w:p>
    <w:p w14:paraId="1D506CD7" w14:textId="29C7928D" w:rsidR="00432230" w:rsidRPr="00432230" w:rsidRDefault="00432230" w:rsidP="00432230">
      <w:pPr>
        <w:rPr>
          <w:sz w:val="22"/>
          <w:szCs w:val="22"/>
        </w:rPr>
      </w:pPr>
      <w:r w:rsidRPr="00432230">
        <w:rPr>
          <w:sz w:val="22"/>
          <w:szCs w:val="22"/>
        </w:rPr>
        <w:t xml:space="preserve">Reteach is a free, resource </w:t>
      </w:r>
      <w:r w:rsidR="00F03456" w:rsidRPr="00D10BBB">
        <w:rPr>
          <w:sz w:val="22"/>
          <w:szCs w:val="22"/>
        </w:rPr>
        <w:t>written by subject</w:t>
      </w:r>
      <w:r w:rsidR="00F03456" w:rsidRPr="00432230">
        <w:rPr>
          <w:sz w:val="22"/>
          <w:szCs w:val="22"/>
        </w:rPr>
        <w:t xml:space="preserve"> </w:t>
      </w:r>
      <w:r w:rsidR="00F03456" w:rsidRPr="00D10BBB">
        <w:rPr>
          <w:sz w:val="22"/>
          <w:szCs w:val="22"/>
        </w:rPr>
        <w:t xml:space="preserve">and </w:t>
      </w:r>
      <w:r w:rsidRPr="00432230">
        <w:rPr>
          <w:sz w:val="22"/>
          <w:szCs w:val="22"/>
        </w:rPr>
        <w:t>designed to address the exact challenges identified in official evidence.</w:t>
      </w:r>
    </w:p>
    <w:p w14:paraId="316C34EB" w14:textId="77777777" w:rsidR="00432230" w:rsidRPr="00432230" w:rsidRDefault="00432230" w:rsidP="00432230">
      <w:pPr>
        <w:rPr>
          <w:b/>
          <w:bCs/>
          <w:sz w:val="22"/>
          <w:szCs w:val="22"/>
        </w:rPr>
      </w:pPr>
      <w:r w:rsidRPr="00432230">
        <w:rPr>
          <w:b/>
          <w:bCs/>
          <w:sz w:val="22"/>
          <w:szCs w:val="22"/>
        </w:rPr>
        <w:t>Reteach provides:</w:t>
      </w:r>
    </w:p>
    <w:p w14:paraId="1F36F9C8" w14:textId="04E2BA31" w:rsidR="00432230" w:rsidRPr="00432230" w:rsidRDefault="00432230" w:rsidP="00432230">
      <w:pPr>
        <w:numPr>
          <w:ilvl w:val="0"/>
          <w:numId w:val="9"/>
        </w:numPr>
        <w:rPr>
          <w:sz w:val="22"/>
          <w:szCs w:val="22"/>
        </w:rPr>
      </w:pPr>
      <w:r w:rsidRPr="00432230">
        <w:rPr>
          <w:b/>
          <w:bCs/>
          <w:sz w:val="22"/>
          <w:szCs w:val="22"/>
        </w:rPr>
        <w:t>Free, curriculum</w:t>
      </w:r>
      <w:r w:rsidR="62B6E27E" w:rsidRPr="6BF74C1C">
        <w:rPr>
          <w:b/>
          <w:bCs/>
          <w:sz w:val="22"/>
          <w:szCs w:val="22"/>
        </w:rPr>
        <w:t xml:space="preserve"> </w:t>
      </w:r>
      <w:r w:rsidRPr="6BF74C1C">
        <w:rPr>
          <w:b/>
          <w:bCs/>
          <w:sz w:val="22"/>
          <w:szCs w:val="22"/>
        </w:rPr>
        <w:t>aligned resources</w:t>
      </w:r>
      <w:r w:rsidRPr="00432230">
        <w:rPr>
          <w:b/>
          <w:bCs/>
          <w:sz w:val="22"/>
          <w:szCs w:val="22"/>
        </w:rPr>
        <w:noBreakHyphen/>
        <w:t>aligned resources</w:t>
      </w:r>
    </w:p>
    <w:p w14:paraId="1B194267" w14:textId="01FBF44A" w:rsidR="00432230" w:rsidRPr="00432230" w:rsidRDefault="00432230" w:rsidP="00432230">
      <w:pPr>
        <w:numPr>
          <w:ilvl w:val="0"/>
          <w:numId w:val="9"/>
        </w:numPr>
        <w:rPr>
          <w:sz w:val="22"/>
          <w:szCs w:val="22"/>
        </w:rPr>
      </w:pPr>
      <w:r w:rsidRPr="5B4C164E">
        <w:rPr>
          <w:b/>
          <w:bCs/>
          <w:sz w:val="22"/>
          <w:szCs w:val="22"/>
        </w:rPr>
        <w:t>Expert</w:t>
      </w:r>
      <w:r w:rsidR="0FB804E7" w:rsidRPr="5B4C164E">
        <w:rPr>
          <w:b/>
          <w:bCs/>
          <w:sz w:val="22"/>
          <w:szCs w:val="22"/>
        </w:rPr>
        <w:t xml:space="preserve"> </w:t>
      </w:r>
      <w:r w:rsidRPr="5B4C164E">
        <w:rPr>
          <w:b/>
          <w:bCs/>
          <w:sz w:val="22"/>
          <w:szCs w:val="22"/>
        </w:rPr>
        <w:t>written</w:t>
      </w:r>
      <w:r w:rsidRPr="47CF970E">
        <w:rPr>
          <w:b/>
          <w:bCs/>
          <w:sz w:val="22"/>
          <w:szCs w:val="22"/>
        </w:rPr>
        <w:t xml:space="preserve"> content</w:t>
      </w:r>
      <w:r w:rsidRPr="47CF970E">
        <w:rPr>
          <w:sz w:val="22"/>
          <w:szCs w:val="22"/>
        </w:rPr>
        <w:t xml:space="preserve"> for accuracy and depth</w:t>
      </w:r>
      <w:r w:rsidRPr="00432230">
        <w:rPr>
          <w:b/>
          <w:bCs/>
          <w:sz w:val="22"/>
          <w:szCs w:val="22"/>
        </w:rPr>
        <w:noBreakHyphen/>
        <w:t>written content</w:t>
      </w:r>
    </w:p>
    <w:p w14:paraId="33152D9B" w14:textId="77777777" w:rsidR="00432230" w:rsidRPr="00432230" w:rsidRDefault="00432230" w:rsidP="00432230">
      <w:pPr>
        <w:numPr>
          <w:ilvl w:val="0"/>
          <w:numId w:val="9"/>
        </w:numPr>
        <w:rPr>
          <w:sz w:val="22"/>
          <w:szCs w:val="22"/>
        </w:rPr>
      </w:pPr>
      <w:r w:rsidRPr="00432230">
        <w:rPr>
          <w:b/>
          <w:bCs/>
          <w:sz w:val="22"/>
          <w:szCs w:val="22"/>
        </w:rPr>
        <w:t>Support for non</w:t>
      </w:r>
      <w:r w:rsidRPr="00432230">
        <w:rPr>
          <w:b/>
          <w:bCs/>
          <w:sz w:val="22"/>
          <w:szCs w:val="22"/>
        </w:rPr>
        <w:noBreakHyphen/>
        <w:t>specialists</w:t>
      </w:r>
      <w:r w:rsidRPr="00432230">
        <w:rPr>
          <w:sz w:val="22"/>
          <w:szCs w:val="22"/>
        </w:rPr>
        <w:t xml:space="preserve"> teaching humanities</w:t>
      </w:r>
    </w:p>
    <w:p w14:paraId="4E835206" w14:textId="77777777" w:rsidR="00432230" w:rsidRPr="00432230" w:rsidRDefault="00432230" w:rsidP="00432230">
      <w:pPr>
        <w:numPr>
          <w:ilvl w:val="0"/>
          <w:numId w:val="9"/>
        </w:numPr>
        <w:rPr>
          <w:sz w:val="22"/>
          <w:szCs w:val="22"/>
        </w:rPr>
      </w:pPr>
      <w:r w:rsidRPr="00432230">
        <w:rPr>
          <w:b/>
          <w:bCs/>
          <w:sz w:val="22"/>
          <w:szCs w:val="22"/>
        </w:rPr>
        <w:t>Guidance on sensitive and contested topics</w:t>
      </w:r>
    </w:p>
    <w:p w14:paraId="1EEE8B4B" w14:textId="3BC62314" w:rsidR="00432230" w:rsidRPr="00432230" w:rsidRDefault="00432230" w:rsidP="00432230">
      <w:pPr>
        <w:numPr>
          <w:ilvl w:val="0"/>
          <w:numId w:val="9"/>
        </w:numPr>
        <w:rPr>
          <w:sz w:val="22"/>
          <w:szCs w:val="22"/>
        </w:rPr>
      </w:pPr>
      <w:r w:rsidRPr="00432230">
        <w:rPr>
          <w:b/>
          <w:bCs/>
          <w:sz w:val="22"/>
          <w:szCs w:val="22"/>
        </w:rPr>
        <w:t>Ready</w:t>
      </w:r>
      <w:r w:rsidR="46FD828C" w:rsidRPr="41448E86">
        <w:rPr>
          <w:b/>
          <w:bCs/>
          <w:sz w:val="22"/>
          <w:szCs w:val="22"/>
        </w:rPr>
        <w:t>-</w:t>
      </w:r>
      <w:r w:rsidRPr="48E068D2">
        <w:rPr>
          <w:b/>
          <w:bCs/>
          <w:sz w:val="22"/>
          <w:szCs w:val="22"/>
        </w:rPr>
        <w:t>to</w:t>
      </w:r>
      <w:r w:rsidR="04B3D4CA" w:rsidRPr="48E068D2">
        <w:rPr>
          <w:b/>
          <w:bCs/>
          <w:sz w:val="22"/>
          <w:szCs w:val="22"/>
        </w:rPr>
        <w:t>-</w:t>
      </w:r>
      <w:r w:rsidRPr="48E068D2">
        <w:rPr>
          <w:b/>
          <w:bCs/>
          <w:sz w:val="22"/>
          <w:szCs w:val="22"/>
        </w:rPr>
        <w:t>use</w:t>
      </w:r>
      <w:r w:rsidRPr="00432230">
        <w:rPr>
          <w:b/>
          <w:bCs/>
          <w:sz w:val="22"/>
          <w:szCs w:val="22"/>
        </w:rPr>
        <w:t xml:space="preserve"> materials</w:t>
      </w:r>
      <w:r w:rsidRPr="00432230">
        <w:rPr>
          <w:sz w:val="22"/>
          <w:szCs w:val="22"/>
        </w:rPr>
        <w:t xml:space="preserve"> that reduce workload</w:t>
      </w:r>
      <w:r w:rsidRPr="00432230">
        <w:rPr>
          <w:b/>
          <w:bCs/>
          <w:sz w:val="22"/>
          <w:szCs w:val="22"/>
        </w:rPr>
        <w:noBreakHyphen/>
        <w:t>to</w:t>
      </w:r>
      <w:r w:rsidRPr="00432230">
        <w:rPr>
          <w:b/>
          <w:bCs/>
          <w:sz w:val="22"/>
          <w:szCs w:val="22"/>
        </w:rPr>
        <w:noBreakHyphen/>
        <w:t>use materials</w:t>
      </w:r>
    </w:p>
    <w:p w14:paraId="4062914A" w14:textId="77777777" w:rsidR="00432230" w:rsidRPr="00432230" w:rsidRDefault="00432230" w:rsidP="00432230">
      <w:pPr>
        <w:numPr>
          <w:ilvl w:val="0"/>
          <w:numId w:val="9"/>
        </w:numPr>
        <w:rPr>
          <w:sz w:val="22"/>
          <w:szCs w:val="22"/>
        </w:rPr>
      </w:pPr>
      <w:r w:rsidRPr="00432230">
        <w:rPr>
          <w:b/>
          <w:bCs/>
          <w:sz w:val="22"/>
          <w:szCs w:val="22"/>
        </w:rPr>
        <w:t>Diverse perspectives</w:t>
      </w:r>
      <w:r w:rsidRPr="00432230">
        <w:rPr>
          <w:sz w:val="22"/>
          <w:szCs w:val="22"/>
        </w:rPr>
        <w:t xml:space="preserve"> aligned with curriculum aims</w:t>
      </w:r>
    </w:p>
    <w:p w14:paraId="206CA3F1" w14:textId="77777777" w:rsidR="00432230" w:rsidRPr="00432230" w:rsidRDefault="00432230" w:rsidP="00432230">
      <w:pPr>
        <w:numPr>
          <w:ilvl w:val="0"/>
          <w:numId w:val="9"/>
        </w:numPr>
        <w:rPr>
          <w:sz w:val="22"/>
          <w:szCs w:val="22"/>
        </w:rPr>
      </w:pPr>
      <w:r w:rsidRPr="00432230">
        <w:rPr>
          <w:b/>
          <w:bCs/>
          <w:sz w:val="22"/>
          <w:szCs w:val="22"/>
        </w:rPr>
        <w:t>Clear disciplinary thinking</w:t>
      </w:r>
      <w:r w:rsidRPr="00432230">
        <w:rPr>
          <w:sz w:val="22"/>
          <w:szCs w:val="22"/>
        </w:rPr>
        <w:t xml:space="preserve"> (evidence, causation, significance)</w:t>
      </w:r>
    </w:p>
    <w:p w14:paraId="02DA2926" w14:textId="77777777" w:rsidR="00432230" w:rsidRPr="00432230" w:rsidRDefault="00432230" w:rsidP="00AE2DDE">
      <w:pPr>
        <w:pStyle w:val="Heading2"/>
      </w:pPr>
      <w:r w:rsidRPr="00432230">
        <w:lastRenderedPageBreak/>
        <w:t>Challenge → How Reteach Helps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2"/>
        <w:gridCol w:w="6174"/>
      </w:tblGrid>
      <w:tr w:rsidR="00432230" w:rsidRPr="00432230" w14:paraId="5E3C6C5A" w14:textId="77777777" w:rsidTr="00F03456">
        <w:trPr>
          <w:tblHeader/>
          <w:tblCellSpacing w:w="15" w:type="dxa"/>
        </w:trPr>
        <w:tc>
          <w:tcPr>
            <w:tcW w:w="0" w:type="auto"/>
            <w:tcBorders>
              <w:bottom w:val="single" w:sz="4" w:space="0" w:color="auto"/>
            </w:tcBorders>
            <w:vAlign w:val="center"/>
            <w:hideMark/>
          </w:tcPr>
          <w:p w14:paraId="06694D0E" w14:textId="77777777" w:rsidR="00432230" w:rsidRPr="00432230" w:rsidRDefault="00432230" w:rsidP="00432230">
            <w:pPr>
              <w:rPr>
                <w:b/>
                <w:bCs/>
                <w:sz w:val="22"/>
                <w:szCs w:val="22"/>
              </w:rPr>
            </w:pPr>
            <w:r w:rsidRPr="00432230">
              <w:rPr>
                <w:b/>
                <w:bCs/>
                <w:sz w:val="22"/>
                <w:szCs w:val="22"/>
              </w:rPr>
              <w:t>Challenge</w:t>
            </w:r>
          </w:p>
        </w:tc>
        <w:tc>
          <w:tcPr>
            <w:tcW w:w="0" w:type="auto"/>
            <w:tcBorders>
              <w:bottom w:val="single" w:sz="4" w:space="0" w:color="auto"/>
            </w:tcBorders>
            <w:vAlign w:val="center"/>
            <w:hideMark/>
          </w:tcPr>
          <w:p w14:paraId="10BDD90C" w14:textId="77777777" w:rsidR="00432230" w:rsidRPr="00432230" w:rsidRDefault="00432230" w:rsidP="00432230">
            <w:pPr>
              <w:rPr>
                <w:b/>
                <w:bCs/>
                <w:sz w:val="22"/>
                <w:szCs w:val="22"/>
              </w:rPr>
            </w:pPr>
            <w:r w:rsidRPr="00432230">
              <w:rPr>
                <w:b/>
                <w:bCs/>
                <w:sz w:val="22"/>
                <w:szCs w:val="22"/>
              </w:rPr>
              <w:t>How Reteach Helps</w:t>
            </w:r>
          </w:p>
        </w:tc>
      </w:tr>
      <w:tr w:rsidR="00432230" w:rsidRPr="00432230" w14:paraId="0CFF2699" w14:textId="77777777">
        <w:trPr>
          <w:tblCellSpacing w:w="15" w:type="dxa"/>
        </w:trPr>
        <w:tc>
          <w:tcPr>
            <w:tcW w:w="0" w:type="auto"/>
            <w:vAlign w:val="center"/>
            <w:hideMark/>
          </w:tcPr>
          <w:p w14:paraId="4F15A2D5" w14:textId="77777777" w:rsidR="00432230" w:rsidRPr="00432230" w:rsidRDefault="00432230" w:rsidP="00432230">
            <w:pPr>
              <w:rPr>
                <w:sz w:val="22"/>
                <w:szCs w:val="22"/>
              </w:rPr>
            </w:pPr>
            <w:r w:rsidRPr="00432230">
              <w:rPr>
                <w:sz w:val="22"/>
                <w:szCs w:val="22"/>
              </w:rPr>
              <w:t>High workload</w:t>
            </w:r>
          </w:p>
        </w:tc>
        <w:tc>
          <w:tcPr>
            <w:tcW w:w="0" w:type="auto"/>
            <w:vAlign w:val="center"/>
            <w:hideMark/>
          </w:tcPr>
          <w:p w14:paraId="0C14975B" w14:textId="236CF637" w:rsidR="00432230" w:rsidRPr="00432230" w:rsidRDefault="00432230" w:rsidP="00432230">
            <w:pPr>
              <w:rPr>
                <w:sz w:val="22"/>
                <w:szCs w:val="22"/>
              </w:rPr>
            </w:pPr>
            <w:r w:rsidRPr="00432230">
              <w:rPr>
                <w:sz w:val="22"/>
                <w:szCs w:val="22"/>
              </w:rPr>
              <w:t>Ready</w:t>
            </w:r>
            <w:r w:rsidR="67745562" w:rsidRPr="3C5E2043">
              <w:rPr>
                <w:sz w:val="22"/>
                <w:szCs w:val="22"/>
              </w:rPr>
              <w:t>-</w:t>
            </w:r>
            <w:r w:rsidRPr="4FE16CD1">
              <w:rPr>
                <w:sz w:val="22"/>
                <w:szCs w:val="22"/>
              </w:rPr>
              <w:t>to</w:t>
            </w:r>
            <w:r w:rsidR="38129FD1" w:rsidRPr="4FE16CD1">
              <w:rPr>
                <w:sz w:val="22"/>
                <w:szCs w:val="22"/>
              </w:rPr>
              <w:t>-</w:t>
            </w:r>
            <w:r w:rsidRPr="4FE16CD1">
              <w:rPr>
                <w:sz w:val="22"/>
                <w:szCs w:val="22"/>
              </w:rPr>
              <w:t>use</w:t>
            </w:r>
            <w:r w:rsidRPr="3C5E2043">
              <w:rPr>
                <w:sz w:val="22"/>
                <w:szCs w:val="22"/>
              </w:rPr>
              <w:t xml:space="preserve">, </w:t>
            </w:r>
            <w:r w:rsidRPr="45F37DF3">
              <w:rPr>
                <w:sz w:val="22"/>
                <w:szCs w:val="22"/>
              </w:rPr>
              <w:t>curriculum</w:t>
            </w:r>
            <w:r w:rsidR="4A0CFDB5" w:rsidRPr="45F37DF3">
              <w:rPr>
                <w:sz w:val="22"/>
                <w:szCs w:val="22"/>
              </w:rPr>
              <w:t xml:space="preserve"> </w:t>
            </w:r>
            <w:r w:rsidRPr="45F37DF3">
              <w:rPr>
                <w:sz w:val="22"/>
                <w:szCs w:val="22"/>
              </w:rPr>
              <w:t>aligned</w:t>
            </w:r>
            <w:r w:rsidRPr="3C5E2043">
              <w:rPr>
                <w:sz w:val="22"/>
                <w:szCs w:val="22"/>
              </w:rPr>
              <w:t xml:space="preserve"> materials reduce planning time</w:t>
            </w:r>
            <w:r w:rsidRPr="00432230">
              <w:rPr>
                <w:sz w:val="22"/>
                <w:szCs w:val="22"/>
              </w:rPr>
              <w:noBreakHyphen/>
              <w:t>to</w:t>
            </w:r>
            <w:r w:rsidRPr="00432230">
              <w:rPr>
                <w:sz w:val="22"/>
                <w:szCs w:val="22"/>
              </w:rPr>
              <w:noBreakHyphen/>
              <w:t>use, curriculum</w:t>
            </w:r>
            <w:r w:rsidRPr="00432230">
              <w:rPr>
                <w:sz w:val="22"/>
                <w:szCs w:val="22"/>
              </w:rPr>
              <w:noBreakHyphen/>
              <w:t>aligned materials reduce planning time</w:t>
            </w:r>
          </w:p>
        </w:tc>
      </w:tr>
      <w:tr w:rsidR="00432230" w:rsidRPr="00432230" w14:paraId="54417DAC" w14:textId="77777777">
        <w:trPr>
          <w:tblCellSpacing w:w="15" w:type="dxa"/>
        </w:trPr>
        <w:tc>
          <w:tcPr>
            <w:tcW w:w="0" w:type="auto"/>
            <w:vAlign w:val="center"/>
            <w:hideMark/>
          </w:tcPr>
          <w:p w14:paraId="33787953" w14:textId="23C8F2E6" w:rsidR="00432230" w:rsidRPr="00432230" w:rsidRDefault="00432230" w:rsidP="00432230">
            <w:pPr>
              <w:rPr>
                <w:sz w:val="22"/>
                <w:szCs w:val="22"/>
              </w:rPr>
            </w:pPr>
            <w:r w:rsidRPr="00432230">
              <w:rPr>
                <w:sz w:val="22"/>
                <w:szCs w:val="22"/>
              </w:rPr>
              <w:t xml:space="preserve">Uneven access to </w:t>
            </w:r>
            <w:r w:rsidR="00F03456" w:rsidRPr="00D10BBB">
              <w:rPr>
                <w:sz w:val="22"/>
                <w:szCs w:val="22"/>
              </w:rPr>
              <w:br/>
            </w:r>
            <w:r w:rsidRPr="00432230">
              <w:rPr>
                <w:sz w:val="22"/>
                <w:szCs w:val="22"/>
              </w:rPr>
              <w:t>quality resources</w:t>
            </w:r>
          </w:p>
        </w:tc>
        <w:tc>
          <w:tcPr>
            <w:tcW w:w="0" w:type="auto"/>
            <w:vAlign w:val="center"/>
            <w:hideMark/>
          </w:tcPr>
          <w:p w14:paraId="2FD33268" w14:textId="5C9944F4" w:rsidR="00432230" w:rsidRPr="00432230" w:rsidRDefault="00432230" w:rsidP="00432230">
            <w:pPr>
              <w:rPr>
                <w:sz w:val="22"/>
                <w:szCs w:val="22"/>
              </w:rPr>
            </w:pPr>
            <w:r w:rsidRPr="00432230">
              <w:rPr>
                <w:sz w:val="22"/>
                <w:szCs w:val="22"/>
              </w:rPr>
              <w:t>Free, expert</w:t>
            </w:r>
            <w:r w:rsidR="1364C866" w:rsidRPr="09E3D61E">
              <w:rPr>
                <w:sz w:val="22"/>
                <w:szCs w:val="22"/>
              </w:rPr>
              <w:t xml:space="preserve"> </w:t>
            </w:r>
            <w:r w:rsidRPr="00432230">
              <w:rPr>
                <w:sz w:val="22"/>
                <w:szCs w:val="22"/>
              </w:rPr>
              <w:t xml:space="preserve">designed content </w:t>
            </w:r>
            <w:r w:rsidR="00F03456" w:rsidRPr="00D10BBB">
              <w:rPr>
                <w:sz w:val="22"/>
                <w:szCs w:val="22"/>
              </w:rPr>
              <w:t xml:space="preserve">which </w:t>
            </w:r>
            <w:r w:rsidRPr="00432230">
              <w:rPr>
                <w:sz w:val="22"/>
                <w:szCs w:val="22"/>
              </w:rPr>
              <w:t>democratises access</w:t>
            </w:r>
            <w:r w:rsidRPr="00432230">
              <w:rPr>
                <w:sz w:val="22"/>
                <w:szCs w:val="22"/>
              </w:rPr>
              <w:noBreakHyphen/>
              <w:t xml:space="preserve">designed content </w:t>
            </w:r>
          </w:p>
        </w:tc>
      </w:tr>
      <w:tr w:rsidR="00432230" w:rsidRPr="00432230" w14:paraId="7F559812" w14:textId="77777777">
        <w:trPr>
          <w:tblCellSpacing w:w="15" w:type="dxa"/>
        </w:trPr>
        <w:tc>
          <w:tcPr>
            <w:tcW w:w="0" w:type="auto"/>
            <w:vAlign w:val="center"/>
            <w:hideMark/>
          </w:tcPr>
          <w:p w14:paraId="6F7F0AAB" w14:textId="77777777" w:rsidR="00432230" w:rsidRPr="00432230" w:rsidRDefault="00432230" w:rsidP="00432230">
            <w:pPr>
              <w:rPr>
                <w:sz w:val="22"/>
                <w:szCs w:val="22"/>
              </w:rPr>
            </w:pPr>
            <w:r w:rsidRPr="00432230">
              <w:rPr>
                <w:sz w:val="22"/>
                <w:szCs w:val="22"/>
              </w:rPr>
              <w:t>Non</w:t>
            </w:r>
            <w:r w:rsidRPr="00432230">
              <w:rPr>
                <w:sz w:val="22"/>
                <w:szCs w:val="22"/>
              </w:rPr>
              <w:noBreakHyphen/>
              <w:t>specialists teaching humanities</w:t>
            </w:r>
          </w:p>
        </w:tc>
        <w:tc>
          <w:tcPr>
            <w:tcW w:w="0" w:type="auto"/>
            <w:vAlign w:val="center"/>
            <w:hideMark/>
          </w:tcPr>
          <w:p w14:paraId="77C9447E" w14:textId="4DAACE13" w:rsidR="00432230" w:rsidRPr="00432230" w:rsidRDefault="00432230" w:rsidP="00432230">
            <w:pPr>
              <w:rPr>
                <w:sz w:val="22"/>
                <w:szCs w:val="22"/>
              </w:rPr>
            </w:pPr>
            <w:r w:rsidRPr="00432230">
              <w:rPr>
                <w:sz w:val="22"/>
                <w:szCs w:val="22"/>
              </w:rPr>
              <w:t xml:space="preserve">Clear, structured lessons </w:t>
            </w:r>
            <w:r w:rsidR="00F03456" w:rsidRPr="00D10BBB">
              <w:rPr>
                <w:sz w:val="22"/>
                <w:szCs w:val="22"/>
              </w:rPr>
              <w:t xml:space="preserve">written by subject experts to </w:t>
            </w:r>
            <w:r w:rsidRPr="00432230">
              <w:rPr>
                <w:sz w:val="22"/>
                <w:szCs w:val="22"/>
              </w:rPr>
              <w:t>support confident teaching</w:t>
            </w:r>
          </w:p>
        </w:tc>
      </w:tr>
      <w:tr w:rsidR="00432230" w:rsidRPr="00432230" w14:paraId="4FB488EC" w14:textId="77777777">
        <w:trPr>
          <w:tblCellSpacing w:w="15" w:type="dxa"/>
        </w:trPr>
        <w:tc>
          <w:tcPr>
            <w:tcW w:w="0" w:type="auto"/>
            <w:vAlign w:val="center"/>
            <w:hideMark/>
          </w:tcPr>
          <w:p w14:paraId="11B7E5F3" w14:textId="77777777" w:rsidR="00432230" w:rsidRPr="00432230" w:rsidRDefault="00432230" w:rsidP="00432230">
            <w:pPr>
              <w:rPr>
                <w:sz w:val="22"/>
                <w:szCs w:val="22"/>
              </w:rPr>
            </w:pPr>
            <w:r w:rsidRPr="00432230">
              <w:rPr>
                <w:sz w:val="22"/>
                <w:szCs w:val="22"/>
              </w:rPr>
              <w:t>Need for diversity &amp; representation</w:t>
            </w:r>
          </w:p>
        </w:tc>
        <w:tc>
          <w:tcPr>
            <w:tcW w:w="0" w:type="auto"/>
            <w:vAlign w:val="center"/>
            <w:hideMark/>
          </w:tcPr>
          <w:p w14:paraId="56FD550C" w14:textId="77777777" w:rsidR="00432230" w:rsidRPr="00432230" w:rsidRDefault="00432230" w:rsidP="00432230">
            <w:pPr>
              <w:rPr>
                <w:sz w:val="22"/>
                <w:szCs w:val="22"/>
              </w:rPr>
            </w:pPr>
            <w:r w:rsidRPr="00432230">
              <w:rPr>
                <w:sz w:val="22"/>
                <w:szCs w:val="22"/>
              </w:rPr>
              <w:t>Guides include broader perspectives and subject knowledge</w:t>
            </w:r>
          </w:p>
        </w:tc>
      </w:tr>
      <w:tr w:rsidR="00432230" w:rsidRPr="00432230" w14:paraId="0D37EC43" w14:textId="77777777">
        <w:trPr>
          <w:tblCellSpacing w:w="15" w:type="dxa"/>
        </w:trPr>
        <w:tc>
          <w:tcPr>
            <w:tcW w:w="0" w:type="auto"/>
            <w:vAlign w:val="center"/>
            <w:hideMark/>
          </w:tcPr>
          <w:p w14:paraId="5BF59E39" w14:textId="77777777" w:rsidR="00432230" w:rsidRPr="00432230" w:rsidRDefault="00432230" w:rsidP="00432230">
            <w:pPr>
              <w:rPr>
                <w:sz w:val="22"/>
                <w:szCs w:val="22"/>
              </w:rPr>
            </w:pPr>
            <w:r w:rsidRPr="00432230">
              <w:rPr>
                <w:sz w:val="22"/>
                <w:szCs w:val="22"/>
              </w:rPr>
              <w:t>Curriculum review demands deeper knowledge</w:t>
            </w:r>
          </w:p>
        </w:tc>
        <w:tc>
          <w:tcPr>
            <w:tcW w:w="0" w:type="auto"/>
            <w:vAlign w:val="center"/>
            <w:hideMark/>
          </w:tcPr>
          <w:p w14:paraId="78C3DE66" w14:textId="77777777" w:rsidR="00432230" w:rsidRPr="00432230" w:rsidRDefault="00432230" w:rsidP="00432230">
            <w:pPr>
              <w:rPr>
                <w:sz w:val="22"/>
                <w:szCs w:val="22"/>
              </w:rPr>
            </w:pPr>
            <w:r w:rsidRPr="00432230">
              <w:rPr>
                <w:sz w:val="22"/>
                <w:szCs w:val="22"/>
              </w:rPr>
              <w:t>Provides depth, clarity, and coherence</w:t>
            </w:r>
          </w:p>
        </w:tc>
      </w:tr>
      <w:tr w:rsidR="00432230" w:rsidRPr="00432230" w14:paraId="00F059AC" w14:textId="77777777">
        <w:trPr>
          <w:tblCellSpacing w:w="15" w:type="dxa"/>
        </w:trPr>
        <w:tc>
          <w:tcPr>
            <w:tcW w:w="0" w:type="auto"/>
            <w:vAlign w:val="center"/>
            <w:hideMark/>
          </w:tcPr>
          <w:p w14:paraId="356F8DE6" w14:textId="77777777" w:rsidR="00432230" w:rsidRPr="00432230" w:rsidRDefault="00432230" w:rsidP="00432230">
            <w:pPr>
              <w:rPr>
                <w:sz w:val="22"/>
                <w:szCs w:val="22"/>
              </w:rPr>
            </w:pPr>
            <w:r w:rsidRPr="00432230">
              <w:rPr>
                <w:sz w:val="22"/>
                <w:szCs w:val="22"/>
              </w:rPr>
              <w:t>Teaching contested history</w:t>
            </w:r>
          </w:p>
        </w:tc>
        <w:tc>
          <w:tcPr>
            <w:tcW w:w="0" w:type="auto"/>
            <w:vAlign w:val="center"/>
            <w:hideMark/>
          </w:tcPr>
          <w:p w14:paraId="13A375F1" w14:textId="5D0BA8E4" w:rsidR="00432230" w:rsidRPr="00432230" w:rsidRDefault="00432230" w:rsidP="00432230">
            <w:pPr>
              <w:rPr>
                <w:sz w:val="22"/>
                <w:szCs w:val="22"/>
              </w:rPr>
            </w:pPr>
            <w:r w:rsidRPr="00432230">
              <w:rPr>
                <w:sz w:val="22"/>
                <w:szCs w:val="22"/>
              </w:rPr>
              <w:t>Balanced, expert</w:t>
            </w:r>
            <w:r w:rsidR="20557A99" w:rsidRPr="093841DB">
              <w:rPr>
                <w:sz w:val="22"/>
                <w:szCs w:val="22"/>
              </w:rPr>
              <w:t xml:space="preserve"> </w:t>
            </w:r>
            <w:r w:rsidRPr="093841DB">
              <w:rPr>
                <w:sz w:val="22"/>
                <w:szCs w:val="22"/>
              </w:rPr>
              <w:t>written materials support safe, confident teaching</w:t>
            </w:r>
            <w:r w:rsidRPr="00432230">
              <w:rPr>
                <w:sz w:val="22"/>
                <w:szCs w:val="22"/>
              </w:rPr>
              <w:noBreakHyphen/>
              <w:t>written materials support safe, confident teaching</w:t>
            </w:r>
          </w:p>
        </w:tc>
      </w:tr>
    </w:tbl>
    <w:p w14:paraId="1FACDB07" w14:textId="3D37E0A9" w:rsidR="00432230" w:rsidRPr="00432230" w:rsidRDefault="00432230" w:rsidP="00F03456">
      <w:pPr>
        <w:pStyle w:val="Heading2"/>
      </w:pPr>
      <w:r w:rsidRPr="00432230">
        <w:t>How Reteach Supports the Curriculum Review</w:t>
      </w:r>
    </w:p>
    <w:p w14:paraId="455B5038" w14:textId="77777777" w:rsidR="00432230" w:rsidRPr="00432230" w:rsidRDefault="00432230" w:rsidP="00432230">
      <w:pPr>
        <w:rPr>
          <w:sz w:val="22"/>
          <w:szCs w:val="22"/>
        </w:rPr>
      </w:pPr>
      <w:r w:rsidRPr="00432230">
        <w:rPr>
          <w:sz w:val="22"/>
          <w:szCs w:val="22"/>
        </w:rPr>
        <w:t>Reteach aligns directly with government aims to:</w:t>
      </w:r>
    </w:p>
    <w:p w14:paraId="5B214DEB" w14:textId="77777777" w:rsidR="00432230" w:rsidRPr="00432230" w:rsidRDefault="00432230" w:rsidP="00432230">
      <w:pPr>
        <w:numPr>
          <w:ilvl w:val="0"/>
          <w:numId w:val="8"/>
        </w:numPr>
        <w:rPr>
          <w:sz w:val="22"/>
          <w:szCs w:val="22"/>
        </w:rPr>
      </w:pPr>
      <w:r w:rsidRPr="00432230">
        <w:rPr>
          <w:sz w:val="22"/>
          <w:szCs w:val="22"/>
        </w:rPr>
        <w:t>Raise standards</w:t>
      </w:r>
    </w:p>
    <w:p w14:paraId="27B7232A" w14:textId="77777777" w:rsidR="00432230" w:rsidRPr="00432230" w:rsidRDefault="00432230" w:rsidP="00432230">
      <w:pPr>
        <w:numPr>
          <w:ilvl w:val="0"/>
          <w:numId w:val="8"/>
        </w:numPr>
        <w:rPr>
          <w:sz w:val="22"/>
          <w:szCs w:val="22"/>
        </w:rPr>
      </w:pPr>
      <w:r w:rsidRPr="00432230">
        <w:rPr>
          <w:sz w:val="22"/>
          <w:szCs w:val="22"/>
        </w:rPr>
        <w:t>Strengthen subject knowledge</w:t>
      </w:r>
    </w:p>
    <w:p w14:paraId="37CCC039" w14:textId="77777777" w:rsidR="00432230" w:rsidRPr="00432230" w:rsidRDefault="00432230" w:rsidP="00432230">
      <w:pPr>
        <w:numPr>
          <w:ilvl w:val="0"/>
          <w:numId w:val="8"/>
        </w:numPr>
        <w:rPr>
          <w:sz w:val="22"/>
          <w:szCs w:val="22"/>
        </w:rPr>
      </w:pPr>
      <w:r w:rsidRPr="00432230">
        <w:rPr>
          <w:sz w:val="22"/>
          <w:szCs w:val="22"/>
        </w:rPr>
        <w:t>Improve curriculum coherence</w:t>
      </w:r>
    </w:p>
    <w:p w14:paraId="44F72CDD" w14:textId="77777777" w:rsidR="00432230" w:rsidRPr="00432230" w:rsidRDefault="00432230" w:rsidP="00432230">
      <w:pPr>
        <w:numPr>
          <w:ilvl w:val="0"/>
          <w:numId w:val="8"/>
        </w:numPr>
        <w:rPr>
          <w:sz w:val="22"/>
          <w:szCs w:val="22"/>
        </w:rPr>
      </w:pPr>
      <w:r w:rsidRPr="00432230">
        <w:rPr>
          <w:sz w:val="22"/>
          <w:szCs w:val="22"/>
        </w:rPr>
        <w:t>Support teacher workload reduction</w:t>
      </w:r>
    </w:p>
    <w:p w14:paraId="5980F22D" w14:textId="77777777" w:rsidR="00432230" w:rsidRPr="00432230" w:rsidRDefault="00432230" w:rsidP="00432230">
      <w:pPr>
        <w:numPr>
          <w:ilvl w:val="0"/>
          <w:numId w:val="8"/>
        </w:numPr>
        <w:rPr>
          <w:sz w:val="22"/>
          <w:szCs w:val="22"/>
        </w:rPr>
      </w:pPr>
      <w:r w:rsidRPr="00432230">
        <w:rPr>
          <w:sz w:val="22"/>
          <w:szCs w:val="22"/>
        </w:rPr>
        <w:t>Ensure diversity and representation in the curriculum</w:t>
      </w:r>
    </w:p>
    <w:p w14:paraId="42D784A9" w14:textId="4556946C" w:rsidR="00432230" w:rsidRPr="00432230" w:rsidRDefault="00432230" w:rsidP="00432230">
      <w:pPr>
        <w:numPr>
          <w:ilvl w:val="0"/>
          <w:numId w:val="8"/>
        </w:numPr>
        <w:rPr>
          <w:sz w:val="22"/>
          <w:szCs w:val="22"/>
        </w:rPr>
      </w:pPr>
      <w:r w:rsidRPr="00432230">
        <w:rPr>
          <w:sz w:val="22"/>
          <w:szCs w:val="22"/>
        </w:rPr>
        <w:t xml:space="preserve">Provide accessible, </w:t>
      </w:r>
      <w:r w:rsidR="00DB4FAE" w:rsidRPr="00432230">
        <w:rPr>
          <w:sz w:val="22"/>
          <w:szCs w:val="22"/>
        </w:rPr>
        <w:t>high</w:t>
      </w:r>
      <w:r w:rsidR="00DB4FAE" w:rsidRPr="6EC45B0A">
        <w:rPr>
          <w:sz w:val="22"/>
          <w:szCs w:val="22"/>
        </w:rPr>
        <w:t>-quality</w:t>
      </w:r>
      <w:r w:rsidRPr="6EC45B0A">
        <w:rPr>
          <w:sz w:val="22"/>
          <w:szCs w:val="22"/>
        </w:rPr>
        <w:t xml:space="preserve"> materials for all schools</w:t>
      </w:r>
      <w:r w:rsidRPr="00432230">
        <w:rPr>
          <w:sz w:val="22"/>
          <w:szCs w:val="22"/>
        </w:rPr>
        <w:noBreakHyphen/>
        <w:t>quality materials for all schools</w:t>
      </w:r>
    </w:p>
    <w:p w14:paraId="610918D7" w14:textId="16130E54" w:rsidR="00432230" w:rsidRPr="00432230" w:rsidRDefault="00432230" w:rsidP="00432230">
      <w:pPr>
        <w:rPr>
          <w:sz w:val="22"/>
          <w:szCs w:val="22"/>
        </w:rPr>
      </w:pPr>
      <w:r w:rsidRPr="00432230">
        <w:rPr>
          <w:sz w:val="22"/>
          <w:szCs w:val="22"/>
        </w:rPr>
        <w:t xml:space="preserve">Reteach is a </w:t>
      </w:r>
      <w:r w:rsidRPr="00432230">
        <w:rPr>
          <w:b/>
          <w:bCs/>
          <w:sz w:val="22"/>
          <w:szCs w:val="22"/>
        </w:rPr>
        <w:t>low</w:t>
      </w:r>
      <w:r w:rsidR="19576245" w:rsidRPr="4B5998CC">
        <w:rPr>
          <w:b/>
          <w:bCs/>
          <w:sz w:val="22"/>
          <w:szCs w:val="22"/>
        </w:rPr>
        <w:t xml:space="preserve"> </w:t>
      </w:r>
      <w:r w:rsidRPr="00432230">
        <w:rPr>
          <w:b/>
          <w:bCs/>
          <w:sz w:val="22"/>
          <w:szCs w:val="22"/>
        </w:rPr>
        <w:t xml:space="preserve">cost, </w:t>
      </w:r>
      <w:r w:rsidRPr="6E4755CA">
        <w:rPr>
          <w:b/>
          <w:bCs/>
          <w:sz w:val="22"/>
          <w:szCs w:val="22"/>
        </w:rPr>
        <w:t>high</w:t>
      </w:r>
      <w:r w:rsidR="573481AB" w:rsidRPr="6E4755CA">
        <w:rPr>
          <w:b/>
          <w:bCs/>
          <w:sz w:val="22"/>
          <w:szCs w:val="22"/>
        </w:rPr>
        <w:t xml:space="preserve"> </w:t>
      </w:r>
      <w:r w:rsidRPr="6E4755CA">
        <w:rPr>
          <w:b/>
          <w:bCs/>
          <w:sz w:val="22"/>
          <w:szCs w:val="22"/>
        </w:rPr>
        <w:t>impact</w:t>
      </w:r>
      <w:r w:rsidRPr="00432230">
        <w:rPr>
          <w:b/>
          <w:bCs/>
          <w:sz w:val="22"/>
          <w:szCs w:val="22"/>
        </w:rPr>
        <w:t xml:space="preserve"> intervention</w:t>
      </w:r>
      <w:r w:rsidRPr="00432230">
        <w:rPr>
          <w:sz w:val="22"/>
          <w:szCs w:val="22"/>
        </w:rPr>
        <w:t xml:space="preserve"> that supports both teachers and </w:t>
      </w:r>
      <w:r w:rsidR="00DB4FAE" w:rsidRPr="00432230">
        <w:rPr>
          <w:sz w:val="22"/>
          <w:szCs w:val="22"/>
        </w:rPr>
        <w:t>pupils</w:t>
      </w:r>
      <w:r w:rsidR="009D26AA">
        <w:rPr>
          <w:sz w:val="22"/>
          <w:szCs w:val="22"/>
        </w:rPr>
        <w:t>.</w:t>
      </w:r>
    </w:p>
    <w:p w14:paraId="350ADAF4" w14:textId="3A8EA0BD" w:rsidR="00432230" w:rsidRPr="00432230" w:rsidRDefault="00432230" w:rsidP="004E7331">
      <w:pPr>
        <w:pStyle w:val="Heading2"/>
      </w:pPr>
      <w:r w:rsidRPr="00432230">
        <w:t xml:space="preserve">What </w:t>
      </w:r>
      <w:r w:rsidR="004E7331">
        <w:t>You</w:t>
      </w:r>
      <w:r w:rsidRPr="00432230">
        <w:t xml:space="preserve"> Can Do</w:t>
      </w:r>
    </w:p>
    <w:p w14:paraId="7C7E9D3A" w14:textId="77777777" w:rsidR="00432230" w:rsidRPr="00432230" w:rsidRDefault="00432230" w:rsidP="00432230">
      <w:pPr>
        <w:rPr>
          <w:sz w:val="22"/>
          <w:szCs w:val="22"/>
        </w:rPr>
      </w:pPr>
      <w:r w:rsidRPr="00432230">
        <w:rPr>
          <w:sz w:val="22"/>
          <w:szCs w:val="22"/>
        </w:rPr>
        <w:t>MPs can play a crucial role in ensuring teachers have access to the resources they need.</w:t>
      </w:r>
    </w:p>
    <w:p w14:paraId="2062AB10" w14:textId="77777777" w:rsidR="00432230" w:rsidRPr="00432230" w:rsidRDefault="00432230" w:rsidP="00432230">
      <w:pPr>
        <w:rPr>
          <w:b/>
          <w:bCs/>
          <w:sz w:val="22"/>
          <w:szCs w:val="22"/>
        </w:rPr>
      </w:pPr>
      <w:r w:rsidRPr="00432230">
        <w:rPr>
          <w:b/>
          <w:bCs/>
          <w:sz w:val="22"/>
          <w:szCs w:val="22"/>
        </w:rPr>
        <w:t>Practical actions MPs can take:</w:t>
      </w:r>
    </w:p>
    <w:p w14:paraId="04495B5C" w14:textId="596C36B0" w:rsidR="00432230" w:rsidRPr="00432230" w:rsidRDefault="00432230" w:rsidP="00432230">
      <w:pPr>
        <w:numPr>
          <w:ilvl w:val="0"/>
          <w:numId w:val="3"/>
        </w:numPr>
        <w:rPr>
          <w:sz w:val="22"/>
          <w:szCs w:val="22"/>
        </w:rPr>
      </w:pPr>
      <w:r w:rsidRPr="00432230">
        <w:rPr>
          <w:sz w:val="22"/>
          <w:szCs w:val="22"/>
        </w:rPr>
        <w:t>Champion access to free, high</w:t>
      </w:r>
      <w:r w:rsidR="3AA892C1" w:rsidRPr="33579580">
        <w:rPr>
          <w:sz w:val="22"/>
          <w:szCs w:val="22"/>
        </w:rPr>
        <w:t xml:space="preserve"> </w:t>
      </w:r>
      <w:r w:rsidRPr="33579580">
        <w:rPr>
          <w:sz w:val="22"/>
          <w:szCs w:val="22"/>
        </w:rPr>
        <w:t>quality curriculum materials</w:t>
      </w:r>
      <w:r w:rsidRPr="00432230">
        <w:rPr>
          <w:sz w:val="22"/>
          <w:szCs w:val="22"/>
        </w:rPr>
        <w:noBreakHyphen/>
        <w:t>quality curriculum materials</w:t>
      </w:r>
    </w:p>
    <w:p w14:paraId="0D428409" w14:textId="77777777" w:rsidR="00432230" w:rsidRPr="00432230" w:rsidRDefault="00432230" w:rsidP="00432230">
      <w:pPr>
        <w:numPr>
          <w:ilvl w:val="0"/>
          <w:numId w:val="3"/>
        </w:numPr>
        <w:rPr>
          <w:sz w:val="22"/>
          <w:szCs w:val="22"/>
        </w:rPr>
      </w:pPr>
      <w:r w:rsidRPr="00432230">
        <w:rPr>
          <w:sz w:val="22"/>
          <w:szCs w:val="22"/>
        </w:rPr>
        <w:t>Treat resource provision as a workload reduction strategy</w:t>
      </w:r>
    </w:p>
    <w:p w14:paraId="4BCFF5CE" w14:textId="77777777" w:rsidR="00432230" w:rsidRPr="00432230" w:rsidRDefault="00432230" w:rsidP="00432230">
      <w:pPr>
        <w:numPr>
          <w:ilvl w:val="0"/>
          <w:numId w:val="3"/>
        </w:numPr>
        <w:rPr>
          <w:sz w:val="22"/>
          <w:szCs w:val="22"/>
        </w:rPr>
      </w:pPr>
      <w:r w:rsidRPr="00432230">
        <w:rPr>
          <w:sz w:val="22"/>
          <w:szCs w:val="22"/>
        </w:rPr>
        <w:t>Support non</w:t>
      </w:r>
      <w:r w:rsidRPr="00432230">
        <w:rPr>
          <w:sz w:val="22"/>
          <w:szCs w:val="22"/>
        </w:rPr>
        <w:noBreakHyphen/>
        <w:t>specialists teaching humanities</w:t>
      </w:r>
    </w:p>
    <w:p w14:paraId="0415C3F2" w14:textId="77777777" w:rsidR="00432230" w:rsidRPr="00432230" w:rsidRDefault="00432230" w:rsidP="00432230">
      <w:pPr>
        <w:numPr>
          <w:ilvl w:val="0"/>
          <w:numId w:val="3"/>
        </w:numPr>
        <w:rPr>
          <w:sz w:val="22"/>
          <w:szCs w:val="22"/>
        </w:rPr>
      </w:pPr>
      <w:r w:rsidRPr="00432230">
        <w:rPr>
          <w:sz w:val="22"/>
          <w:szCs w:val="22"/>
        </w:rPr>
        <w:lastRenderedPageBreak/>
        <w:t>Encourage schools in their constituency to use verified resources</w:t>
      </w:r>
    </w:p>
    <w:p w14:paraId="520AC1CD" w14:textId="77777777" w:rsidR="00432230" w:rsidRPr="00432230" w:rsidRDefault="00432230" w:rsidP="00432230">
      <w:pPr>
        <w:numPr>
          <w:ilvl w:val="0"/>
          <w:numId w:val="3"/>
        </w:numPr>
        <w:rPr>
          <w:sz w:val="22"/>
          <w:szCs w:val="22"/>
        </w:rPr>
      </w:pPr>
      <w:r w:rsidRPr="00432230">
        <w:rPr>
          <w:sz w:val="22"/>
          <w:szCs w:val="22"/>
        </w:rPr>
        <w:t>Move the conversation away from culture wars and toward practical support</w:t>
      </w:r>
    </w:p>
    <w:p w14:paraId="01B9B9BB" w14:textId="77777777" w:rsidR="00432230" w:rsidRPr="00432230" w:rsidRDefault="00432230" w:rsidP="00432230">
      <w:pPr>
        <w:numPr>
          <w:ilvl w:val="0"/>
          <w:numId w:val="3"/>
        </w:numPr>
        <w:rPr>
          <w:sz w:val="22"/>
          <w:szCs w:val="22"/>
        </w:rPr>
      </w:pPr>
      <w:r w:rsidRPr="00432230">
        <w:rPr>
          <w:sz w:val="22"/>
          <w:szCs w:val="22"/>
        </w:rPr>
        <w:t xml:space="preserve">Help secure partnerships that expand </w:t>
      </w:r>
      <w:proofErr w:type="spellStart"/>
      <w:r w:rsidRPr="00432230">
        <w:rPr>
          <w:sz w:val="22"/>
          <w:szCs w:val="22"/>
        </w:rPr>
        <w:t>Reteach’s</w:t>
      </w:r>
      <w:proofErr w:type="spellEnd"/>
      <w:r w:rsidRPr="00432230">
        <w:rPr>
          <w:sz w:val="22"/>
          <w:szCs w:val="22"/>
        </w:rPr>
        <w:t xml:space="preserve"> reach</w:t>
      </w:r>
    </w:p>
    <w:p w14:paraId="4D16EFC2" w14:textId="3F3C5084" w:rsidR="00432230" w:rsidRPr="00432230" w:rsidRDefault="00432230" w:rsidP="00432230">
      <w:pPr>
        <w:numPr>
          <w:ilvl w:val="0"/>
          <w:numId w:val="3"/>
        </w:numPr>
        <w:rPr>
          <w:sz w:val="22"/>
          <w:szCs w:val="22"/>
        </w:rPr>
      </w:pPr>
      <w:r w:rsidRPr="00432230">
        <w:rPr>
          <w:sz w:val="22"/>
          <w:szCs w:val="22"/>
        </w:rPr>
        <w:t>Share information packs with local schools</w:t>
      </w:r>
      <w:r w:rsidR="004E7331" w:rsidRPr="00D10BBB">
        <w:rPr>
          <w:sz w:val="22"/>
          <w:szCs w:val="22"/>
        </w:rPr>
        <w:t>,</w:t>
      </w:r>
      <w:r w:rsidRPr="00432230">
        <w:rPr>
          <w:sz w:val="22"/>
          <w:szCs w:val="22"/>
        </w:rPr>
        <w:t xml:space="preserve"> </w:t>
      </w:r>
      <w:r w:rsidR="004E7331" w:rsidRPr="00D10BBB">
        <w:rPr>
          <w:sz w:val="22"/>
          <w:szCs w:val="22"/>
        </w:rPr>
        <w:t>(Multi</w:t>
      </w:r>
      <w:r w:rsidR="004E7331" w:rsidRPr="00D10BBB">
        <w:rPr>
          <w:rFonts w:ascii="Cambria Math" w:hAnsi="Cambria Math" w:cs="Cambria Math"/>
          <w:sz w:val="22"/>
          <w:szCs w:val="22"/>
        </w:rPr>
        <w:t>‑</w:t>
      </w:r>
      <w:r w:rsidR="004E7331" w:rsidRPr="00D10BBB">
        <w:rPr>
          <w:sz w:val="22"/>
          <w:szCs w:val="22"/>
        </w:rPr>
        <w:t xml:space="preserve">Academy Trusts) </w:t>
      </w:r>
      <w:r w:rsidRPr="00432230">
        <w:rPr>
          <w:sz w:val="22"/>
          <w:szCs w:val="22"/>
        </w:rPr>
        <w:t>MATs</w:t>
      </w:r>
      <w:r w:rsidR="004E7331" w:rsidRPr="00D10BBB">
        <w:rPr>
          <w:sz w:val="22"/>
          <w:szCs w:val="22"/>
        </w:rPr>
        <w:t xml:space="preserve"> </w:t>
      </w:r>
      <w:r w:rsidR="004E7331" w:rsidRPr="00432230">
        <w:rPr>
          <w:sz w:val="22"/>
          <w:szCs w:val="22"/>
        </w:rPr>
        <w:t>and teacher</w:t>
      </w:r>
      <w:r w:rsidR="07DCA1A1" w:rsidRPr="0C77AC05">
        <w:rPr>
          <w:sz w:val="22"/>
          <w:szCs w:val="22"/>
        </w:rPr>
        <w:t xml:space="preserve"> </w:t>
      </w:r>
      <w:r w:rsidR="004E7331" w:rsidRPr="0C77AC05">
        <w:rPr>
          <w:sz w:val="22"/>
          <w:szCs w:val="22"/>
        </w:rPr>
        <w:t>training providers</w:t>
      </w:r>
      <w:r w:rsidR="004E7331" w:rsidRPr="00432230">
        <w:rPr>
          <w:sz w:val="22"/>
          <w:szCs w:val="22"/>
        </w:rPr>
        <w:noBreakHyphen/>
        <w:t>training providers</w:t>
      </w:r>
    </w:p>
    <w:p w14:paraId="03F8C17F" w14:textId="5BE9B8A2" w:rsidR="00432230" w:rsidRPr="00D10BBB" w:rsidRDefault="00432230" w:rsidP="00432230">
      <w:pPr>
        <w:numPr>
          <w:ilvl w:val="0"/>
          <w:numId w:val="3"/>
        </w:numPr>
        <w:rPr>
          <w:sz w:val="22"/>
          <w:szCs w:val="22"/>
        </w:rPr>
      </w:pPr>
      <w:r w:rsidRPr="00432230">
        <w:rPr>
          <w:sz w:val="22"/>
          <w:szCs w:val="22"/>
        </w:rPr>
        <w:t>Highlight the importance of expert</w:t>
      </w:r>
      <w:r w:rsidR="5EE37F3C" w:rsidRPr="305579FD">
        <w:rPr>
          <w:sz w:val="22"/>
          <w:szCs w:val="22"/>
        </w:rPr>
        <w:t xml:space="preserve"> </w:t>
      </w:r>
      <w:r w:rsidRPr="305579FD">
        <w:rPr>
          <w:sz w:val="22"/>
          <w:szCs w:val="22"/>
        </w:rPr>
        <w:t>led resources in debates and committees</w:t>
      </w:r>
      <w:r w:rsidRPr="00432230">
        <w:rPr>
          <w:sz w:val="22"/>
          <w:szCs w:val="22"/>
        </w:rPr>
        <w:noBreakHyphen/>
        <w:t>led resources in debates and committees</w:t>
      </w:r>
    </w:p>
    <w:p w14:paraId="08FFEB0B" w14:textId="294E242E" w:rsidR="004E7331" w:rsidRPr="00432230" w:rsidRDefault="004E7331" w:rsidP="004E7331">
      <w:pPr>
        <w:numPr>
          <w:ilvl w:val="0"/>
          <w:numId w:val="3"/>
        </w:numPr>
        <w:rPr>
          <w:sz w:val="22"/>
          <w:szCs w:val="22"/>
        </w:rPr>
      </w:pPr>
      <w:r w:rsidRPr="00432230">
        <w:rPr>
          <w:sz w:val="22"/>
          <w:szCs w:val="22"/>
        </w:rPr>
        <w:t>Advocate for resource equity in education policy discussions</w:t>
      </w:r>
    </w:p>
    <w:p w14:paraId="36780BD0" w14:textId="257151D4" w:rsidR="00432230" w:rsidRPr="00432230" w:rsidRDefault="00432230" w:rsidP="004E7331">
      <w:pPr>
        <w:pStyle w:val="Heading2"/>
      </w:pPr>
      <w:r w:rsidRPr="00432230">
        <w:t>Contact &amp; Follow</w:t>
      </w:r>
      <w:r w:rsidR="550B0519">
        <w:t xml:space="preserve"> </w:t>
      </w:r>
      <w:r>
        <w:t>Up</w:t>
      </w:r>
      <w:r w:rsidRPr="00432230">
        <w:noBreakHyphen/>
        <w:t>Up</w:t>
      </w:r>
    </w:p>
    <w:p w14:paraId="2E6EE075" w14:textId="772B6921" w:rsidR="004E7331" w:rsidRPr="004E7331" w:rsidRDefault="004E7331" w:rsidP="004E7331">
      <w:pPr>
        <w:rPr>
          <w:sz w:val="22"/>
          <w:szCs w:val="22"/>
        </w:rPr>
      </w:pPr>
      <w:r w:rsidRPr="004E7331">
        <w:rPr>
          <w:b/>
          <w:bCs/>
          <w:sz w:val="22"/>
          <w:szCs w:val="22"/>
        </w:rPr>
        <w:t>We can provide:</w:t>
      </w:r>
    </w:p>
    <w:p w14:paraId="6EA5A891" w14:textId="77777777" w:rsidR="004E7331" w:rsidRPr="004E7331" w:rsidRDefault="004E7331" w:rsidP="004E7331">
      <w:pPr>
        <w:numPr>
          <w:ilvl w:val="0"/>
          <w:numId w:val="7"/>
        </w:numPr>
        <w:rPr>
          <w:sz w:val="22"/>
          <w:szCs w:val="22"/>
        </w:rPr>
      </w:pPr>
      <w:r w:rsidRPr="004E7331">
        <w:rPr>
          <w:b/>
          <w:bCs/>
          <w:sz w:val="22"/>
          <w:szCs w:val="22"/>
        </w:rPr>
        <w:t>Demonstrations</w:t>
      </w:r>
      <w:r w:rsidRPr="004E7331">
        <w:rPr>
          <w:sz w:val="22"/>
          <w:szCs w:val="22"/>
        </w:rPr>
        <w:t xml:space="preserve"> of the Reteach platform</w:t>
      </w:r>
    </w:p>
    <w:p w14:paraId="6440A820" w14:textId="77777777" w:rsidR="004E7331" w:rsidRPr="004E7331" w:rsidRDefault="004E7331" w:rsidP="004E7331">
      <w:pPr>
        <w:numPr>
          <w:ilvl w:val="0"/>
          <w:numId w:val="7"/>
        </w:numPr>
        <w:rPr>
          <w:sz w:val="22"/>
          <w:szCs w:val="22"/>
        </w:rPr>
      </w:pPr>
      <w:r w:rsidRPr="004E7331">
        <w:rPr>
          <w:b/>
          <w:bCs/>
          <w:sz w:val="22"/>
          <w:szCs w:val="22"/>
        </w:rPr>
        <w:t>Briefings</w:t>
      </w:r>
      <w:r w:rsidRPr="004E7331">
        <w:rPr>
          <w:sz w:val="22"/>
          <w:szCs w:val="22"/>
        </w:rPr>
        <w:t xml:space="preserve"> tailored to your constituency or policy interests</w:t>
      </w:r>
    </w:p>
    <w:p w14:paraId="1F7ED1BB" w14:textId="77777777" w:rsidR="004E7331" w:rsidRPr="004E7331" w:rsidRDefault="004E7331" w:rsidP="004E7331">
      <w:pPr>
        <w:numPr>
          <w:ilvl w:val="0"/>
          <w:numId w:val="7"/>
        </w:numPr>
        <w:rPr>
          <w:sz w:val="22"/>
          <w:szCs w:val="22"/>
        </w:rPr>
      </w:pPr>
      <w:r w:rsidRPr="004E7331">
        <w:rPr>
          <w:b/>
          <w:bCs/>
          <w:sz w:val="22"/>
          <w:szCs w:val="22"/>
        </w:rPr>
        <w:t>Digital versions</w:t>
      </w:r>
      <w:r w:rsidRPr="004E7331">
        <w:rPr>
          <w:sz w:val="22"/>
          <w:szCs w:val="22"/>
        </w:rPr>
        <w:t xml:space="preserve"> of this information pack for sharing with local schools</w:t>
      </w:r>
    </w:p>
    <w:p w14:paraId="5F40C14F" w14:textId="2584915C" w:rsidR="004E7331" w:rsidRPr="004E7331" w:rsidRDefault="004E7331" w:rsidP="004E7331">
      <w:pPr>
        <w:numPr>
          <w:ilvl w:val="0"/>
          <w:numId w:val="7"/>
        </w:numPr>
        <w:rPr>
          <w:sz w:val="22"/>
          <w:szCs w:val="22"/>
        </w:rPr>
      </w:pPr>
      <w:r w:rsidRPr="004E7331">
        <w:rPr>
          <w:b/>
          <w:bCs/>
          <w:sz w:val="22"/>
          <w:szCs w:val="22"/>
        </w:rPr>
        <w:t>Support for engagement</w:t>
      </w:r>
      <w:r w:rsidRPr="004E7331">
        <w:rPr>
          <w:sz w:val="22"/>
          <w:szCs w:val="22"/>
        </w:rPr>
        <w:t xml:space="preserve"> with MATs, local authorities, and teacher</w:t>
      </w:r>
      <w:r w:rsidR="11F53154" w:rsidRPr="77A05CCD">
        <w:rPr>
          <w:sz w:val="22"/>
          <w:szCs w:val="22"/>
        </w:rPr>
        <w:t xml:space="preserve"> </w:t>
      </w:r>
      <w:r w:rsidRPr="77A05CCD">
        <w:rPr>
          <w:sz w:val="22"/>
          <w:szCs w:val="22"/>
        </w:rPr>
        <w:t>training providers</w:t>
      </w:r>
      <w:r w:rsidRPr="004E7331">
        <w:rPr>
          <w:sz w:val="22"/>
          <w:szCs w:val="22"/>
        </w:rPr>
        <w:noBreakHyphen/>
        <w:t>training providers</w:t>
      </w:r>
    </w:p>
    <w:p w14:paraId="5244CD63" w14:textId="77777777" w:rsidR="004E7331" w:rsidRPr="004E7331" w:rsidRDefault="004E7331" w:rsidP="004E7331">
      <w:pPr>
        <w:numPr>
          <w:ilvl w:val="0"/>
          <w:numId w:val="7"/>
        </w:numPr>
        <w:rPr>
          <w:sz w:val="22"/>
          <w:szCs w:val="22"/>
        </w:rPr>
      </w:pPr>
      <w:r w:rsidRPr="004E7331">
        <w:rPr>
          <w:b/>
          <w:bCs/>
          <w:sz w:val="22"/>
          <w:szCs w:val="22"/>
        </w:rPr>
        <w:t>Expert insight</w:t>
      </w:r>
      <w:r w:rsidRPr="004E7331">
        <w:rPr>
          <w:sz w:val="22"/>
          <w:szCs w:val="22"/>
        </w:rPr>
        <w:t xml:space="preserve"> on curriculum review implications for history teaching</w:t>
      </w:r>
    </w:p>
    <w:p w14:paraId="34883910" w14:textId="77777777" w:rsidR="004E7331" w:rsidRPr="004E7331" w:rsidRDefault="004E7331" w:rsidP="004E7331">
      <w:pPr>
        <w:numPr>
          <w:ilvl w:val="0"/>
          <w:numId w:val="7"/>
        </w:numPr>
        <w:rPr>
          <w:sz w:val="22"/>
          <w:szCs w:val="22"/>
        </w:rPr>
      </w:pPr>
      <w:r w:rsidRPr="004E7331">
        <w:rPr>
          <w:b/>
          <w:bCs/>
          <w:sz w:val="22"/>
          <w:szCs w:val="22"/>
        </w:rPr>
        <w:t>Connections</w:t>
      </w:r>
      <w:r w:rsidRPr="004E7331">
        <w:rPr>
          <w:sz w:val="22"/>
          <w:szCs w:val="22"/>
        </w:rPr>
        <w:t xml:space="preserve"> to teachers and subject specialists for further evidence gathering</w:t>
      </w:r>
    </w:p>
    <w:p w14:paraId="5CD0BDFF" w14:textId="77777777" w:rsidR="00D10BBB" w:rsidRPr="00D10BBB" w:rsidRDefault="00D10BBB" w:rsidP="004E7331">
      <w:pPr>
        <w:rPr>
          <w:b/>
          <w:bCs/>
          <w:sz w:val="22"/>
          <w:szCs w:val="22"/>
        </w:rPr>
      </w:pPr>
    </w:p>
    <w:p w14:paraId="6901FC71" w14:textId="59F03E66" w:rsidR="004E7331" w:rsidRPr="00D10BBB" w:rsidRDefault="004E7331" w:rsidP="004E7331">
      <w:pPr>
        <w:rPr>
          <w:sz w:val="22"/>
          <w:szCs w:val="22"/>
        </w:rPr>
      </w:pPr>
      <w:r w:rsidRPr="004E7331">
        <w:rPr>
          <w:b/>
          <w:bCs/>
          <w:sz w:val="22"/>
          <w:szCs w:val="22"/>
        </w:rPr>
        <w:t>To arrange follow</w:t>
      </w:r>
      <w:r w:rsidR="4F1D31E1" w:rsidRPr="2C808561">
        <w:rPr>
          <w:b/>
          <w:bCs/>
          <w:sz w:val="22"/>
          <w:szCs w:val="22"/>
        </w:rPr>
        <w:t xml:space="preserve"> </w:t>
      </w:r>
      <w:r w:rsidRPr="004E7331">
        <w:rPr>
          <w:b/>
          <w:bCs/>
          <w:sz w:val="22"/>
          <w:szCs w:val="22"/>
        </w:rPr>
        <w:t>up discussions or request additional materials, please contact:</w:t>
      </w:r>
      <w:r w:rsidRPr="004E7331">
        <w:rPr>
          <w:sz w:val="22"/>
          <w:szCs w:val="22"/>
        </w:rPr>
        <w:t xml:space="preserve"> </w:t>
      </w:r>
      <w:r w:rsidR="00E75CBD">
        <w:br/>
      </w:r>
      <w:r w:rsidR="00E75CBD" w:rsidRPr="00D10BBB">
        <w:rPr>
          <w:sz w:val="22"/>
          <w:szCs w:val="22"/>
        </w:rPr>
        <w:t>Laura Martin Laderas</w:t>
      </w:r>
      <w:r w:rsidRPr="004E7331">
        <w:rPr>
          <w:sz w:val="22"/>
          <w:szCs w:val="22"/>
        </w:rPr>
        <w:t xml:space="preserve"> </w:t>
      </w:r>
      <w:r>
        <w:br/>
      </w:r>
      <w:r w:rsidRPr="004E7331">
        <w:rPr>
          <w:b/>
          <w:bCs/>
          <w:sz w:val="22"/>
          <w:szCs w:val="22"/>
        </w:rPr>
        <w:t>Email:</w:t>
      </w:r>
      <w:r w:rsidRPr="004E7331">
        <w:rPr>
          <w:sz w:val="22"/>
          <w:szCs w:val="22"/>
        </w:rPr>
        <w:t xml:space="preserve"> </w:t>
      </w:r>
      <w:hyperlink r:id="rId17">
        <w:r w:rsidRPr="2C808561">
          <w:rPr>
            <w:rStyle w:val="Hyperlink"/>
            <w:sz w:val="22"/>
            <w:szCs w:val="22"/>
          </w:rPr>
          <w:t>laura.martin@alcs.co.uk</w:t>
        </w:r>
      </w:hyperlink>
      <w:r w:rsidRPr="00D10BBB">
        <w:rPr>
          <w:sz w:val="22"/>
          <w:szCs w:val="22"/>
        </w:rPr>
        <w:t xml:space="preserve"> </w:t>
      </w:r>
      <w:r>
        <w:br/>
      </w:r>
      <w:r w:rsidRPr="004E7331">
        <w:rPr>
          <w:b/>
          <w:bCs/>
          <w:sz w:val="22"/>
          <w:szCs w:val="22"/>
        </w:rPr>
        <w:t>Phone:</w:t>
      </w:r>
      <w:r w:rsidRPr="004E7331">
        <w:rPr>
          <w:sz w:val="22"/>
          <w:szCs w:val="22"/>
        </w:rPr>
        <w:t xml:space="preserve"> </w:t>
      </w:r>
      <w:r w:rsidRPr="00D10BBB">
        <w:rPr>
          <w:sz w:val="22"/>
          <w:szCs w:val="22"/>
        </w:rPr>
        <w:t>07730 466 262</w:t>
      </w:r>
      <w:r>
        <w:br/>
      </w:r>
      <w:r w:rsidRPr="004E7331">
        <w:rPr>
          <w:b/>
          <w:bCs/>
          <w:sz w:val="22"/>
          <w:szCs w:val="22"/>
        </w:rPr>
        <w:t>Website:</w:t>
      </w:r>
      <w:r w:rsidRPr="004E7331">
        <w:rPr>
          <w:sz w:val="22"/>
          <w:szCs w:val="22"/>
        </w:rPr>
        <w:t xml:space="preserve"> </w:t>
      </w:r>
      <w:hyperlink r:id="rId18">
        <w:r w:rsidRPr="2C808561">
          <w:rPr>
            <w:rStyle w:val="Hyperlink"/>
            <w:sz w:val="22"/>
            <w:szCs w:val="22"/>
          </w:rPr>
          <w:t>reteach.org.uk</w:t>
        </w:r>
      </w:hyperlink>
    </w:p>
    <w:p w14:paraId="117E9735" w14:textId="77777777" w:rsidR="004E7331" w:rsidRPr="004E7331" w:rsidRDefault="004E7331" w:rsidP="004E7331"/>
    <w:p w14:paraId="2CC30696" w14:textId="4D908419" w:rsidR="004E7331" w:rsidRDefault="004E7331"/>
    <w:sectPr w:rsidR="004E7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01A"/>
    <w:multiLevelType w:val="multilevel"/>
    <w:tmpl w:val="0814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A2C21"/>
    <w:multiLevelType w:val="multilevel"/>
    <w:tmpl w:val="3302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B0AFA"/>
    <w:multiLevelType w:val="multilevel"/>
    <w:tmpl w:val="A334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E26BD"/>
    <w:multiLevelType w:val="multilevel"/>
    <w:tmpl w:val="C608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A3479"/>
    <w:multiLevelType w:val="multilevel"/>
    <w:tmpl w:val="66BC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4350C"/>
    <w:multiLevelType w:val="multilevel"/>
    <w:tmpl w:val="974E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C1A0B"/>
    <w:multiLevelType w:val="multilevel"/>
    <w:tmpl w:val="A404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D6059"/>
    <w:multiLevelType w:val="multilevel"/>
    <w:tmpl w:val="1026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71902"/>
    <w:multiLevelType w:val="multilevel"/>
    <w:tmpl w:val="2440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53087E"/>
    <w:multiLevelType w:val="multilevel"/>
    <w:tmpl w:val="DAE4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82AF0"/>
    <w:multiLevelType w:val="multilevel"/>
    <w:tmpl w:val="C258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342184">
    <w:abstractNumId w:val="0"/>
  </w:num>
  <w:num w:numId="2" w16cid:durableId="1191183824">
    <w:abstractNumId w:val="7"/>
  </w:num>
  <w:num w:numId="3" w16cid:durableId="1297026745">
    <w:abstractNumId w:val="10"/>
  </w:num>
  <w:num w:numId="4" w16cid:durableId="1434083150">
    <w:abstractNumId w:val="4"/>
  </w:num>
  <w:num w:numId="5" w16cid:durableId="1496801416">
    <w:abstractNumId w:val="5"/>
  </w:num>
  <w:num w:numId="6" w16cid:durableId="1512336670">
    <w:abstractNumId w:val="1"/>
  </w:num>
  <w:num w:numId="7" w16cid:durableId="1637950896">
    <w:abstractNumId w:val="3"/>
  </w:num>
  <w:num w:numId="8" w16cid:durableId="2081782868">
    <w:abstractNumId w:val="8"/>
  </w:num>
  <w:num w:numId="9" w16cid:durableId="694187373">
    <w:abstractNumId w:val="9"/>
  </w:num>
  <w:num w:numId="10" w16cid:durableId="849412790">
    <w:abstractNumId w:val="2"/>
  </w:num>
  <w:num w:numId="11" w16cid:durableId="925965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30"/>
    <w:rsid w:val="00032735"/>
    <w:rsid w:val="000F557C"/>
    <w:rsid w:val="00196B47"/>
    <w:rsid w:val="001A37F9"/>
    <w:rsid w:val="001B0765"/>
    <w:rsid w:val="002231F3"/>
    <w:rsid w:val="00234671"/>
    <w:rsid w:val="0025431B"/>
    <w:rsid w:val="002B600C"/>
    <w:rsid w:val="003445AA"/>
    <w:rsid w:val="003A6199"/>
    <w:rsid w:val="00432230"/>
    <w:rsid w:val="004640ED"/>
    <w:rsid w:val="004E4A1D"/>
    <w:rsid w:val="004E7331"/>
    <w:rsid w:val="005100D2"/>
    <w:rsid w:val="005126A8"/>
    <w:rsid w:val="00560A88"/>
    <w:rsid w:val="005677E1"/>
    <w:rsid w:val="005804C7"/>
    <w:rsid w:val="005D5571"/>
    <w:rsid w:val="00627EA3"/>
    <w:rsid w:val="006B3683"/>
    <w:rsid w:val="006C39B7"/>
    <w:rsid w:val="007710C5"/>
    <w:rsid w:val="007734AE"/>
    <w:rsid w:val="0081494E"/>
    <w:rsid w:val="00827EB3"/>
    <w:rsid w:val="008974F0"/>
    <w:rsid w:val="009D26AA"/>
    <w:rsid w:val="00A3225C"/>
    <w:rsid w:val="00A45039"/>
    <w:rsid w:val="00A51845"/>
    <w:rsid w:val="00A63D13"/>
    <w:rsid w:val="00A66137"/>
    <w:rsid w:val="00AB496A"/>
    <w:rsid w:val="00AB540B"/>
    <w:rsid w:val="00AE2DDE"/>
    <w:rsid w:val="00B1304A"/>
    <w:rsid w:val="00B2159B"/>
    <w:rsid w:val="00B5689A"/>
    <w:rsid w:val="00CC37C5"/>
    <w:rsid w:val="00D10BBB"/>
    <w:rsid w:val="00D254B0"/>
    <w:rsid w:val="00D302B7"/>
    <w:rsid w:val="00D64C0F"/>
    <w:rsid w:val="00DB4FAE"/>
    <w:rsid w:val="00DC6985"/>
    <w:rsid w:val="00DE1309"/>
    <w:rsid w:val="00DF53B9"/>
    <w:rsid w:val="00E24E0E"/>
    <w:rsid w:val="00E569C3"/>
    <w:rsid w:val="00E75CBD"/>
    <w:rsid w:val="00EA76C7"/>
    <w:rsid w:val="00EB72E0"/>
    <w:rsid w:val="00ED5930"/>
    <w:rsid w:val="00EE18D4"/>
    <w:rsid w:val="00F03456"/>
    <w:rsid w:val="00FB4ED7"/>
    <w:rsid w:val="00FD4634"/>
    <w:rsid w:val="023D7088"/>
    <w:rsid w:val="02E550D3"/>
    <w:rsid w:val="04053AAD"/>
    <w:rsid w:val="04B3D4CA"/>
    <w:rsid w:val="05926F74"/>
    <w:rsid w:val="07DCA1A1"/>
    <w:rsid w:val="093841DB"/>
    <w:rsid w:val="09E3D61E"/>
    <w:rsid w:val="0C77AC05"/>
    <w:rsid w:val="0FB804E7"/>
    <w:rsid w:val="1123DF52"/>
    <w:rsid w:val="11F53154"/>
    <w:rsid w:val="1364C866"/>
    <w:rsid w:val="19576245"/>
    <w:rsid w:val="19742104"/>
    <w:rsid w:val="20557A99"/>
    <w:rsid w:val="29AF5A21"/>
    <w:rsid w:val="2A5E3378"/>
    <w:rsid w:val="2AC38208"/>
    <w:rsid w:val="2C808561"/>
    <w:rsid w:val="2E1908BF"/>
    <w:rsid w:val="305579FD"/>
    <w:rsid w:val="3355ADA9"/>
    <w:rsid w:val="33579580"/>
    <w:rsid w:val="34FEB436"/>
    <w:rsid w:val="36D7BF1F"/>
    <w:rsid w:val="37BEAB24"/>
    <w:rsid w:val="37F6C282"/>
    <w:rsid w:val="38129FD1"/>
    <w:rsid w:val="3AA892C1"/>
    <w:rsid w:val="3C5E2043"/>
    <w:rsid w:val="3CA17A38"/>
    <w:rsid w:val="41448E86"/>
    <w:rsid w:val="42288707"/>
    <w:rsid w:val="4261FB48"/>
    <w:rsid w:val="43BB160A"/>
    <w:rsid w:val="45F37DF3"/>
    <w:rsid w:val="46FD828C"/>
    <w:rsid w:val="47CF970E"/>
    <w:rsid w:val="48E068D2"/>
    <w:rsid w:val="4A0CFDB5"/>
    <w:rsid w:val="4B5998CC"/>
    <w:rsid w:val="4C4FCFEF"/>
    <w:rsid w:val="4F1D31E1"/>
    <w:rsid w:val="4FE16CD1"/>
    <w:rsid w:val="509E4AE9"/>
    <w:rsid w:val="550B0519"/>
    <w:rsid w:val="573481AB"/>
    <w:rsid w:val="5818B4A1"/>
    <w:rsid w:val="5B4C164E"/>
    <w:rsid w:val="5EE37F3C"/>
    <w:rsid w:val="62263FE6"/>
    <w:rsid w:val="62B6E27E"/>
    <w:rsid w:val="62DD7D4C"/>
    <w:rsid w:val="62F4BCB4"/>
    <w:rsid w:val="632E4518"/>
    <w:rsid w:val="67745562"/>
    <w:rsid w:val="6BF74C1C"/>
    <w:rsid w:val="6E4755CA"/>
    <w:rsid w:val="6EC45B0A"/>
    <w:rsid w:val="77A05CCD"/>
    <w:rsid w:val="7B363F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B2B4"/>
  <w15:chartTrackingRefBased/>
  <w15:docId w15:val="{9583BD10-E7B8-445E-A6FE-6EA0F57F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2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2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230"/>
    <w:rPr>
      <w:rFonts w:eastAsiaTheme="majorEastAsia" w:cstheme="majorBidi"/>
      <w:color w:val="272727" w:themeColor="text1" w:themeTint="D8"/>
    </w:rPr>
  </w:style>
  <w:style w:type="paragraph" w:styleId="Title">
    <w:name w:val="Title"/>
    <w:basedOn w:val="Normal"/>
    <w:next w:val="Normal"/>
    <w:link w:val="TitleChar"/>
    <w:uiPriority w:val="10"/>
    <w:qFormat/>
    <w:rsid w:val="00432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230"/>
    <w:pPr>
      <w:spacing w:before="160"/>
      <w:jc w:val="center"/>
    </w:pPr>
    <w:rPr>
      <w:i/>
      <w:iCs/>
      <w:color w:val="404040" w:themeColor="text1" w:themeTint="BF"/>
    </w:rPr>
  </w:style>
  <w:style w:type="character" w:customStyle="1" w:styleId="QuoteChar">
    <w:name w:val="Quote Char"/>
    <w:basedOn w:val="DefaultParagraphFont"/>
    <w:link w:val="Quote"/>
    <w:uiPriority w:val="29"/>
    <w:rsid w:val="00432230"/>
    <w:rPr>
      <w:i/>
      <w:iCs/>
      <w:color w:val="404040" w:themeColor="text1" w:themeTint="BF"/>
    </w:rPr>
  </w:style>
  <w:style w:type="paragraph" w:styleId="ListParagraph">
    <w:name w:val="List Paragraph"/>
    <w:basedOn w:val="Normal"/>
    <w:uiPriority w:val="34"/>
    <w:qFormat/>
    <w:rsid w:val="00432230"/>
    <w:pPr>
      <w:ind w:left="720"/>
      <w:contextualSpacing/>
    </w:pPr>
  </w:style>
  <w:style w:type="character" w:styleId="IntenseEmphasis">
    <w:name w:val="Intense Emphasis"/>
    <w:basedOn w:val="DefaultParagraphFont"/>
    <w:uiPriority w:val="21"/>
    <w:qFormat/>
    <w:rsid w:val="00432230"/>
    <w:rPr>
      <w:i/>
      <w:iCs/>
      <w:color w:val="0F4761" w:themeColor="accent1" w:themeShade="BF"/>
    </w:rPr>
  </w:style>
  <w:style w:type="paragraph" w:styleId="IntenseQuote">
    <w:name w:val="Intense Quote"/>
    <w:basedOn w:val="Normal"/>
    <w:next w:val="Normal"/>
    <w:link w:val="IntenseQuoteChar"/>
    <w:uiPriority w:val="30"/>
    <w:qFormat/>
    <w:rsid w:val="00432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230"/>
    <w:rPr>
      <w:i/>
      <w:iCs/>
      <w:color w:val="0F4761" w:themeColor="accent1" w:themeShade="BF"/>
    </w:rPr>
  </w:style>
  <w:style w:type="character" w:styleId="IntenseReference">
    <w:name w:val="Intense Reference"/>
    <w:basedOn w:val="DefaultParagraphFont"/>
    <w:uiPriority w:val="32"/>
    <w:qFormat/>
    <w:rsid w:val="00432230"/>
    <w:rPr>
      <w:b/>
      <w:bCs/>
      <w:smallCaps/>
      <w:color w:val="0F4761" w:themeColor="accent1" w:themeShade="BF"/>
      <w:spacing w:val="5"/>
    </w:rPr>
  </w:style>
  <w:style w:type="character" w:styleId="Hyperlink">
    <w:name w:val="Hyperlink"/>
    <w:basedOn w:val="DefaultParagraphFont"/>
    <w:uiPriority w:val="99"/>
    <w:unhideWhenUsed/>
    <w:rsid w:val="004E7331"/>
    <w:rPr>
      <w:color w:val="467886" w:themeColor="hyperlink"/>
      <w:u w:val="single"/>
    </w:rPr>
  </w:style>
  <w:style w:type="character" w:styleId="UnresolvedMention">
    <w:name w:val="Unresolved Mention"/>
    <w:basedOn w:val="DefaultParagraphFont"/>
    <w:uiPriority w:val="99"/>
    <w:semiHidden/>
    <w:unhideWhenUsed/>
    <w:rsid w:val="004E7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search-review-series-history/research-review-series-history?utm_source=copilot.com" TargetMode="External"/><Relationship Id="rId13" Type="http://schemas.openxmlformats.org/officeDocument/2006/relationships/hyperlink" Target="https://www.gov.uk/government/collections/ofsted-annual-report-202122" TargetMode="External"/><Relationship Id="rId18" Type="http://schemas.openxmlformats.org/officeDocument/2006/relationships/hyperlink" Target="https://reteach.org.uk/subject/history/irish-perspectives-on-the-easter-ris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istory.org.uk/secondary/categories/410/news/3985/ofsted-research-report-into-history-2021?srsltid=AfmBOorPivhMQpG7doafglIpo7ilmGNA44LQx1Gyw3Ir6UCePWJfg7Jp" TargetMode="External"/><Relationship Id="rId17" Type="http://schemas.openxmlformats.org/officeDocument/2006/relationships/hyperlink" Target="mailto:laura.martin@alcs.co.uk" TargetMode="External"/><Relationship Id="rId2" Type="http://schemas.openxmlformats.org/officeDocument/2006/relationships/customXml" Target="../customXml/item2.xml"/><Relationship Id="rId16" Type="http://schemas.openxmlformats.org/officeDocument/2006/relationships/hyperlink" Target="https://www.gov.uk/government/publications/working-lives-of-teachers-and-leaders-wave-2/working-lives-of-teachers-and-leaders-wave-2-summary-repo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story.org.uk/secondary/categories/409/news/4433/ha-secondary-history-survey-2024?srsltid=AfmBOoqbe67sh48cXkJ9lGNrCdt0ZcAe5cTUKjebz830-T5aCNdv4Le4" TargetMode="External"/><Relationship Id="rId5" Type="http://schemas.openxmlformats.org/officeDocument/2006/relationships/styles" Target="styles.xml"/><Relationship Id="rId15" Type="http://schemas.openxmlformats.org/officeDocument/2006/relationships/hyperlink" Target="https://www.nfer.ac.uk/publications/teacher-labour-market-in-england-annual-report-2024/" TargetMode="External"/><Relationship Id="rId10" Type="http://schemas.openxmlformats.org/officeDocument/2006/relationships/hyperlink" Target="https://www.history.org.uk/secondary/categories/409/news/4433/ha-secondary-history-survey-2024?srsltid=AfmBOoqbe67sh48cXkJ9lGNrCdt0ZcAe5cTUKjebz830-T5aCNdv4Le4"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istory.org.uk/secondary/categories/410/news/3985/ofsted-research-report-into-history-2021?srsltid=AfmBOorPivhMQpG7doafglIpo7ilmGNA44LQx1Gyw3Ir6UCePWJfg7Jp" TargetMode="External"/><Relationship Id="rId14" Type="http://schemas.openxmlformats.org/officeDocument/2006/relationships/hyperlink" Target="https://assets.publishing.service.gov.uk/media/6989d70c85bc7d6ba0fbc7d7/Working_lives_of_teachers_wave_3_research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3c07ff-3d4b-41c3-ae77-09537d20a6e8" xsi:nil="true"/>
    <lcf76f155ced4ddcb4097134ff3c332f xmlns="805f9c06-cfe7-4592-b846-7c2d5a0a25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0188CC830A14F83F65570420B95CD" ma:contentTypeVersion="18" ma:contentTypeDescription="Create a new document." ma:contentTypeScope="" ma:versionID="a213580b3b2ee8e488f8563d19404bab">
  <xsd:schema xmlns:xsd="http://www.w3.org/2001/XMLSchema" xmlns:xs="http://www.w3.org/2001/XMLSchema" xmlns:p="http://schemas.microsoft.com/office/2006/metadata/properties" xmlns:ns2="805f9c06-cfe7-4592-b846-7c2d5a0a2537" xmlns:ns3="d93c07ff-3d4b-41c3-ae77-09537d20a6e8" targetNamespace="http://schemas.microsoft.com/office/2006/metadata/properties" ma:root="true" ma:fieldsID="4391219821a558e1b2d445d82a13e51f" ns2:_="" ns3:_="">
    <xsd:import namespace="805f9c06-cfe7-4592-b846-7c2d5a0a2537"/>
    <xsd:import namespace="d93c07ff-3d4b-41c3-ae77-09537d20a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f9c06-cfe7-4592-b846-7c2d5a0a2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94f45d-2743-418e-81fc-a1d53f26a9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c07ff-3d4b-41c3-ae77-09537d20a6e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a4232b-8e3a-4a24-9f04-279d5ff57655}" ma:internalName="TaxCatchAll" ma:showField="CatchAllData" ma:web="d93c07ff-3d4b-41c3-ae77-09537d20a6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5FD52-582C-4BD6-82DE-4CDF71AC8AE1}">
  <ds:schemaRefs>
    <ds:schemaRef ds:uri="http://schemas.microsoft.com/office/2006/metadata/properties"/>
    <ds:schemaRef ds:uri="http://schemas.microsoft.com/office/infopath/2007/PartnerControls"/>
    <ds:schemaRef ds:uri="d93c07ff-3d4b-41c3-ae77-09537d20a6e8"/>
    <ds:schemaRef ds:uri="805f9c06-cfe7-4592-b846-7c2d5a0a2537"/>
  </ds:schemaRefs>
</ds:datastoreItem>
</file>

<file path=customXml/itemProps2.xml><?xml version="1.0" encoding="utf-8"?>
<ds:datastoreItem xmlns:ds="http://schemas.openxmlformats.org/officeDocument/2006/customXml" ds:itemID="{8EFC25AA-23F2-401D-8F21-86F064B0ABCB}">
  <ds:schemaRefs>
    <ds:schemaRef ds:uri="http://schemas.microsoft.com/sharepoint/v3/contenttype/forms"/>
  </ds:schemaRefs>
</ds:datastoreItem>
</file>

<file path=customXml/itemProps3.xml><?xml version="1.0" encoding="utf-8"?>
<ds:datastoreItem xmlns:ds="http://schemas.openxmlformats.org/officeDocument/2006/customXml" ds:itemID="{C5AE70A4-ABC5-42B9-8698-01643530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f9c06-cfe7-4592-b846-7c2d5a0a2537"/>
    <ds:schemaRef ds:uri="d93c07ff-3d4b-41c3-ae77-09537d20a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1699</Words>
  <Characters>10726</Characters>
  <Application>Microsoft Office Word</Application>
  <DocSecurity>0</DocSecurity>
  <Lines>297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Martin</dc:creator>
  <cp:keywords/>
  <dc:description/>
  <cp:lastModifiedBy>Laura Martin</cp:lastModifiedBy>
  <cp:revision>3</cp:revision>
  <dcterms:created xsi:type="dcterms:W3CDTF">2026-03-10T16:22:00Z</dcterms:created>
  <dcterms:modified xsi:type="dcterms:W3CDTF">2026-03-10T16:26:00Z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0x010100CD30188CC830A14F83F65570420B95CD</vt:lpwstr>
  </property>
  <property fmtid="{D5CDD505-2E9C-101B-9397-08002B2CF9AE}" pid="3" name="MediaServiceImageTags">
    <vt:lpwstr/>
  </property>
</Properties>
</file>